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E732">
      <w:pPr>
        <w:bidi w:val="0"/>
        <w:rPr>
          <w:color w:val="auto"/>
        </w:rPr>
      </w:pPr>
      <w:bookmarkStart w:id="0" w:name="_GoBack"/>
    </w:p>
    <w:p w14:paraId="36A61A56">
      <w:pPr>
        <w:bidi w:val="0"/>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四川省煤矿安全风险监测预警</w:t>
      </w:r>
    </w:p>
    <w:p w14:paraId="522816C6">
      <w:pPr>
        <w:bidi w:val="0"/>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处置工作细则</w:t>
      </w:r>
    </w:p>
    <w:p w14:paraId="24E26E9B">
      <w:pPr>
        <w:bidi w:val="0"/>
        <w:ind w:left="0" w:leftChars="0" w:firstLine="0" w:firstLineChars="0"/>
        <w:jc w:val="center"/>
        <w:rPr>
          <w:rFonts w:hint="eastAsia" w:ascii="楷体_GB2312" w:hAnsi="楷体_GB2312" w:eastAsia="楷体_GB2312" w:cs="楷体_GB2312"/>
          <w:color w:val="auto"/>
        </w:rPr>
      </w:pPr>
      <w:r>
        <w:rPr>
          <w:rFonts w:hint="eastAsia" w:ascii="楷体_GB2312" w:hAnsi="楷体_GB2312" w:eastAsia="楷体_GB2312" w:cs="楷体_GB2312"/>
          <w:color w:val="auto"/>
        </w:rPr>
        <w:t>（</w:t>
      </w:r>
      <w:r>
        <w:rPr>
          <w:rFonts w:hint="eastAsia" w:ascii="楷体_GB2312" w:hAnsi="楷体_GB2312" w:eastAsia="楷体_GB2312" w:cs="楷体_GB2312"/>
          <w:color w:val="auto"/>
          <w:lang w:eastAsia="zh-CN"/>
        </w:rPr>
        <w:t>征求意见</w:t>
      </w:r>
      <w:r>
        <w:rPr>
          <w:rFonts w:hint="eastAsia" w:ascii="楷体_GB2312" w:hAnsi="楷体_GB2312" w:eastAsia="楷体_GB2312" w:cs="楷体_GB2312"/>
          <w:color w:val="auto"/>
        </w:rPr>
        <w:t>稿）</w:t>
      </w:r>
    </w:p>
    <w:p w14:paraId="7C541C2E">
      <w:pPr>
        <w:bidi w:val="0"/>
        <w:rPr>
          <w:rFonts w:hint="eastAsia"/>
          <w:color w:val="auto"/>
        </w:rPr>
      </w:pPr>
    </w:p>
    <w:p w14:paraId="0F02EEAE">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第一章  总  则</w:t>
      </w:r>
    </w:p>
    <w:p w14:paraId="4872C6D1">
      <w:pPr>
        <w:bidi w:val="0"/>
        <w:rPr>
          <w:rFonts w:hint="eastAsia"/>
          <w:color w:val="auto"/>
        </w:rPr>
      </w:pPr>
      <w:r>
        <w:rPr>
          <w:rFonts w:hint="eastAsia"/>
          <w:color w:val="auto"/>
        </w:rPr>
        <w:t>第一条  为进一步加强全省煤矿安全风险监测预警处置工作（以下简称监测预警处置工作），规范预警响应和紧急避险，扎实开展各类超限报警的调查和处置，根据国家矿山安全监察局《矿山安全风险监测预警处置工作管理办法（试行）》及有关规定，结合我省实际，制定本办法。</w:t>
      </w:r>
    </w:p>
    <w:p w14:paraId="213BEE14">
      <w:pPr>
        <w:bidi w:val="0"/>
        <w:rPr>
          <w:rFonts w:hint="eastAsia"/>
          <w:color w:val="auto"/>
        </w:rPr>
      </w:pPr>
      <w:r>
        <w:rPr>
          <w:rFonts w:hint="eastAsia"/>
          <w:color w:val="auto"/>
        </w:rPr>
        <w:t>第二条  煤矿及煤矿企业、煤矿安全监管部门利用各类安全生产监测预警信息化系统（以下简称监测预警系统）开展的风险监测、预警响应、分析研判、核查反馈等工作，适用本办法。</w:t>
      </w:r>
    </w:p>
    <w:p w14:paraId="2D4C6CE3">
      <w:pPr>
        <w:bidi w:val="0"/>
        <w:rPr>
          <w:rFonts w:hint="eastAsia"/>
          <w:color w:val="auto"/>
        </w:rPr>
      </w:pPr>
      <w:r>
        <w:rPr>
          <w:rFonts w:hint="eastAsia"/>
          <w:color w:val="auto"/>
        </w:rPr>
        <w:t>第三条  监测预警处置工作坚持“分类分级、科学规范、及时处置、闭环管理”的原则，建立以煤矿及煤矿企业为主体，安全监管监察部门既各负其责、又协同配合的工作机制，实现系统共用、数据共享，形成横向联动、纵向贯通的工作体系。</w:t>
      </w:r>
    </w:p>
    <w:p w14:paraId="27887EC3">
      <w:pPr>
        <w:bidi w:val="0"/>
        <w:rPr>
          <w:rFonts w:hint="eastAsia"/>
          <w:color w:val="auto"/>
        </w:rPr>
      </w:pPr>
      <w:r>
        <w:rPr>
          <w:rFonts w:hint="eastAsia"/>
          <w:color w:val="auto"/>
        </w:rPr>
        <w:t>第四条  监测预警系统发出报警信号后，井下人员受到现实安全威胁未能及时撤离人员到安全区域的，定性为重大涉险。</w:t>
      </w:r>
    </w:p>
    <w:p w14:paraId="4F612467">
      <w:pPr>
        <w:bidi w:val="0"/>
        <w:rPr>
          <w:rFonts w:hint="eastAsia"/>
          <w:color w:val="auto"/>
        </w:rPr>
      </w:pPr>
      <w:r>
        <w:rPr>
          <w:rFonts w:hint="eastAsia"/>
          <w:color w:val="auto"/>
        </w:rPr>
        <w:t>第五条  监测预警系统主要包括安全监控系统、</w:t>
      </w:r>
      <w:r>
        <w:rPr>
          <w:rFonts w:hint="eastAsia"/>
          <w:color w:val="auto"/>
        </w:rPr>
        <w:t>井下人员</w:t>
      </w:r>
      <w:r>
        <w:rPr>
          <w:rFonts w:hint="eastAsia"/>
          <w:color w:val="auto"/>
          <w:lang w:eastAsia="zh-CN"/>
        </w:rPr>
        <w:t>位置监测</w:t>
      </w:r>
      <w:r>
        <w:rPr>
          <w:rFonts w:hint="eastAsia"/>
          <w:color w:val="auto"/>
        </w:rPr>
        <w:t>系统</w:t>
      </w:r>
      <w:r>
        <w:rPr>
          <w:rFonts w:hint="eastAsia"/>
          <w:color w:val="auto"/>
        </w:rPr>
        <w:t>、水害监测系统、重大设备感知系统、工业视频系统、应急广播和紧急呼叫系统、“电子封条”系统等。</w:t>
      </w:r>
    </w:p>
    <w:p w14:paraId="46CF18CA">
      <w:pPr>
        <w:bidi w:val="0"/>
        <w:rPr>
          <w:rFonts w:hint="eastAsia"/>
          <w:color w:val="auto"/>
        </w:rPr>
      </w:pPr>
      <w:r>
        <w:rPr>
          <w:rFonts w:hint="eastAsia"/>
          <w:color w:val="auto"/>
        </w:rPr>
        <w:t>煤矿、煤矿企业和省、市、县煤矿安全监控平台（以下统称“各级平台”）必须同时使用现有“四川省煤矿远程监管综合管理系统”和“国家矿山安全生产风险监测预警系统”，并确保24小时正常在线运行。</w:t>
      </w:r>
    </w:p>
    <w:p w14:paraId="66595790">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第二章  预警信息等级划分</w:t>
      </w:r>
    </w:p>
    <w:p w14:paraId="7420A1E7">
      <w:pPr>
        <w:bidi w:val="0"/>
        <w:rPr>
          <w:rFonts w:hint="eastAsia"/>
          <w:color w:val="auto"/>
        </w:rPr>
      </w:pPr>
      <w:r>
        <w:rPr>
          <w:rFonts w:hint="eastAsia"/>
          <w:color w:val="auto"/>
        </w:rPr>
        <w:t>第六条  煤矿安全风险预警信息是对煤矿生产建设过程中各类安全风险指标进行监测、识别分析后，由监测预警系统发出的报警信号。根据风险的严重程度、发展趋势和紧迫性等因素，将预警信息等级从高到低划分为红、橙、黄、蓝四级（全省煤矿监测预警系统预警信息分级标准详见附录）。煤矿及煤矿企业可以结合管理实际和监测预警处置工作需要，科学合理确定本企业各类监测预警信息预警指标，对省级未设定监测预警指标的，制定本企业预警信息分级标准。</w:t>
      </w:r>
    </w:p>
    <w:p w14:paraId="09938714">
      <w:pPr>
        <w:bidi w:val="0"/>
        <w:rPr>
          <w:rFonts w:hint="eastAsia"/>
          <w:color w:val="auto"/>
        </w:rPr>
      </w:pPr>
      <w:r>
        <w:rPr>
          <w:rFonts w:hint="eastAsia"/>
          <w:color w:val="auto"/>
        </w:rPr>
        <w:t>第七条  煤矿出现蓝色及以上预警信息时，记为一起报警事件，事件级别对应预警信息等级。因同一事件源造成多个监测传感器发出报警信号的（如：因同一灾害气体涌出源造成多个传感器超限报警的，因同一次非计划停电、停风等事件造成多个传感器报警的，因同一监控分站或传输线路等设备故障造成多个传感器报警的等），认定为一起报警事件。同一起报警事件，预警信息从蓝色上升到更高级别的，按最高级别认定为一起报警事件。同一作业地点因不同原因、不同时段多次出现预警信息的，分别计入报警事件起数。</w:t>
      </w:r>
    </w:p>
    <w:p w14:paraId="1F9D8143">
      <w:pPr>
        <w:bidi w:val="0"/>
        <w:rPr>
          <w:rFonts w:hint="eastAsia"/>
          <w:color w:val="auto"/>
        </w:rPr>
      </w:pPr>
      <w:r>
        <w:rPr>
          <w:rFonts w:hint="eastAsia"/>
          <w:color w:val="auto"/>
        </w:rPr>
        <w:t>第八条  鼓励煤矿及煤矿企业、煤矿安全监管部门探索利用人工智能大模型、AI视频识别、机器人、无人机、卫星遥感等技术手段开展监测预警工作，提升风险监测预警的覆盖范围和精准度。</w:t>
      </w:r>
    </w:p>
    <w:p w14:paraId="0444E1D3">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第三章  工作责任</w:t>
      </w:r>
    </w:p>
    <w:p w14:paraId="6DFF41D6">
      <w:pPr>
        <w:bidi w:val="0"/>
        <w:rPr>
          <w:rFonts w:hint="eastAsia"/>
          <w:color w:val="auto"/>
        </w:rPr>
      </w:pPr>
      <w:r>
        <w:rPr>
          <w:rFonts w:hint="eastAsia"/>
          <w:color w:val="auto"/>
        </w:rPr>
        <w:t>第九条  煤矿是监测预警处置工作的责任主体，应当做到：</w:t>
      </w:r>
    </w:p>
    <w:p w14:paraId="0D9F074C">
      <w:pPr>
        <w:bidi w:val="0"/>
        <w:rPr>
          <w:rFonts w:hint="eastAsia"/>
          <w:color w:val="auto"/>
        </w:rPr>
      </w:pPr>
      <w:r>
        <w:rPr>
          <w:rFonts w:hint="eastAsia"/>
          <w:color w:val="auto"/>
        </w:rPr>
        <w:t>（一）按照相关标准建设完善监测预警系统，规范上传数据。监测预警系统的各类传感器、分站安装位置、断电范围等必须符合国家标准和行业技术标准，传感器、分站等设备应当具有不少于20%的备用量；必须具有符合要求的备用电源；必须具备数据存储功能，保存介质和保存期限符合规定要求。</w:t>
      </w:r>
    </w:p>
    <w:p w14:paraId="459AAF09">
      <w:pPr>
        <w:bidi w:val="0"/>
        <w:rPr>
          <w:rFonts w:hint="eastAsia"/>
          <w:color w:val="auto"/>
        </w:rPr>
      </w:pPr>
      <w:r>
        <w:rPr>
          <w:rFonts w:hint="eastAsia"/>
          <w:color w:val="auto"/>
        </w:rPr>
        <w:t>（二）健全完善监测预警系统管理制度和责任制，明确工作机构、人员和职责。应当设置监测预警值班机构，合理配备值班人员，实行24小时值班，重点查阅、跟踪监测预警系统中各类预警信息及处置反馈情况、与煤矿安全监管监察部门联网状态、故障修复等情况。值班人员应当经过专门培训，</w:t>
      </w:r>
      <w:r>
        <w:rPr>
          <w:rFonts w:hint="eastAsia"/>
          <w:color w:val="auto"/>
        </w:rPr>
        <w:t>具有职业高中、技工学校及中专以上相关专业学历，</w:t>
      </w:r>
      <w:r>
        <w:rPr>
          <w:rFonts w:hint="eastAsia"/>
          <w:color w:val="auto"/>
        </w:rPr>
        <w:t>熟悉各类监测预警系统功能，具备紧急处置监测预警报警信息基本能力。</w:t>
      </w:r>
    </w:p>
    <w:p w14:paraId="12CEBCE0">
      <w:pPr>
        <w:bidi w:val="0"/>
        <w:rPr>
          <w:rFonts w:hint="eastAsia"/>
          <w:color w:val="auto"/>
        </w:rPr>
      </w:pPr>
      <w:r>
        <w:rPr>
          <w:rFonts w:hint="eastAsia"/>
          <w:color w:val="auto"/>
        </w:rPr>
        <w:t>（三）建立监测预警处置工作闭环管理流程，及时响应处置各类预警信息，并向上级公司和属地安全监管监察部门报告应急处置情况。</w:t>
      </w:r>
    </w:p>
    <w:p w14:paraId="545A0117">
      <w:pPr>
        <w:bidi w:val="0"/>
        <w:rPr>
          <w:rFonts w:hint="eastAsia"/>
          <w:color w:val="auto"/>
        </w:rPr>
      </w:pPr>
      <w:r>
        <w:rPr>
          <w:rFonts w:hint="eastAsia"/>
          <w:color w:val="auto"/>
        </w:rPr>
        <w:t>（四）建立报警事件管理制度和责任追究制度，完善报警事件管理台账，定期总结分析报警事件原因，研究制定整改防范措施。</w:t>
      </w:r>
    </w:p>
    <w:p w14:paraId="714DF837">
      <w:pPr>
        <w:bidi w:val="0"/>
        <w:rPr>
          <w:rFonts w:hint="eastAsia"/>
          <w:color w:val="auto"/>
        </w:rPr>
      </w:pPr>
      <w:r>
        <w:rPr>
          <w:rFonts w:hint="eastAsia"/>
          <w:color w:val="auto"/>
        </w:rPr>
        <w:t>第十条  煤矿企业对所属煤矿的监测预警处置工作负有组织领导、监督检查、协同整改等管理责任。应当做到：</w:t>
      </w:r>
    </w:p>
    <w:p w14:paraId="56604467">
      <w:pPr>
        <w:bidi w:val="0"/>
        <w:rPr>
          <w:rFonts w:hint="eastAsia"/>
          <w:color w:val="auto"/>
        </w:rPr>
      </w:pPr>
      <w:r>
        <w:rPr>
          <w:rFonts w:hint="eastAsia"/>
          <w:color w:val="auto"/>
        </w:rPr>
        <w:t>（一）督促所属煤矿按照相关标准建设完善监测预警系统，规范上传数据。</w:t>
      </w:r>
    </w:p>
    <w:p w14:paraId="5A898945">
      <w:pPr>
        <w:bidi w:val="0"/>
        <w:rPr>
          <w:rFonts w:hint="eastAsia"/>
          <w:color w:val="auto"/>
        </w:rPr>
      </w:pPr>
      <w:r>
        <w:rPr>
          <w:rFonts w:hint="eastAsia"/>
          <w:color w:val="auto"/>
        </w:rPr>
        <w:t>（二）健全完善监测预警信息管理制度，设置监测预警值班机构，合理配备值班人员实行24小时值班，及时发现处置所属煤矿产生的监测预警信息。鼓励建设直联所属煤矿的风险监测预警平台。</w:t>
      </w:r>
    </w:p>
    <w:p w14:paraId="13AE79A3">
      <w:pPr>
        <w:bidi w:val="0"/>
        <w:rPr>
          <w:rFonts w:hint="eastAsia"/>
          <w:color w:val="auto"/>
        </w:rPr>
      </w:pPr>
      <w:r>
        <w:rPr>
          <w:rFonts w:hint="eastAsia"/>
          <w:color w:val="auto"/>
        </w:rPr>
        <w:t>（三）建立所属煤矿报警事件管理台账，定期总结分析报警事件原因，研究制定整改防范措施。</w:t>
      </w:r>
    </w:p>
    <w:p w14:paraId="6CF035F8">
      <w:pPr>
        <w:bidi w:val="0"/>
        <w:rPr>
          <w:rFonts w:hint="eastAsia"/>
          <w:color w:val="auto"/>
        </w:rPr>
      </w:pPr>
      <w:r>
        <w:rPr>
          <w:rFonts w:hint="eastAsia"/>
          <w:color w:val="auto"/>
        </w:rPr>
        <w:t>第十一条  市、县级煤矿安全监管部门按照属地监管原则，负责监管辖区煤矿的监测预警处置工作。应当做到：</w:t>
      </w:r>
    </w:p>
    <w:p w14:paraId="427F4391">
      <w:pPr>
        <w:bidi w:val="0"/>
        <w:rPr>
          <w:rFonts w:hint="eastAsia"/>
          <w:color w:val="auto"/>
        </w:rPr>
      </w:pPr>
      <w:r>
        <w:rPr>
          <w:rFonts w:hint="eastAsia"/>
          <w:color w:val="auto"/>
        </w:rPr>
        <w:t>（一）应当建立本地区煤矿监测预警处置工作体系，健全完善有关工作制度和责任制，落实值班值守人员，对辖区煤矿监测预警信息实施24小时动态管控。</w:t>
      </w:r>
    </w:p>
    <w:p w14:paraId="49F974A4">
      <w:pPr>
        <w:bidi w:val="0"/>
        <w:rPr>
          <w:rFonts w:hint="eastAsia"/>
          <w:color w:val="auto"/>
        </w:rPr>
      </w:pPr>
      <w:r>
        <w:rPr>
          <w:rFonts w:hint="eastAsia"/>
          <w:color w:val="auto"/>
        </w:rPr>
        <w:t>（二）按照分类分级原则，指导、督促、检查辖区煤矿及煤矿企业的监测预警处置工作，核查处置辖区煤矿预警信息。推动辖区煤矿及煤矿企业落实监测预警处置工作责任。市级煤矿安全监管部门要对下级煤矿安全监管部门的煤矿监测预警处置工作进行督促检查。</w:t>
      </w:r>
    </w:p>
    <w:p w14:paraId="7BEF0120">
      <w:pPr>
        <w:bidi w:val="0"/>
        <w:rPr>
          <w:rFonts w:hint="eastAsia"/>
          <w:color w:val="auto"/>
        </w:rPr>
      </w:pPr>
      <w:r>
        <w:rPr>
          <w:rFonts w:hint="eastAsia"/>
          <w:color w:val="auto"/>
        </w:rPr>
        <w:t>（三）组织煤矿安全监管人员每日开展在线巡查，结合监测预警系统及时发现问题并立即处置。</w:t>
      </w:r>
    </w:p>
    <w:p w14:paraId="6B2AB16B">
      <w:pPr>
        <w:bidi w:val="0"/>
        <w:rPr>
          <w:rFonts w:hint="eastAsia"/>
          <w:color w:val="auto"/>
        </w:rPr>
      </w:pPr>
      <w:r>
        <w:rPr>
          <w:rFonts w:hint="eastAsia"/>
          <w:color w:val="auto"/>
        </w:rPr>
        <w:t>第十二条  应急管理厅会同国家矿山安全监察局四川局，建立省级响应处置、分析研判等协同工作机制，监督、检查、指导各地煤矿安全监管部门监测预警处置工作， 组织对煤矿及上级企业监测预警处置工作进行抽查检查，核查煤矿预警信息。</w:t>
      </w:r>
    </w:p>
    <w:p w14:paraId="08E89129">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第四章  预警信息处置</w:t>
      </w:r>
    </w:p>
    <w:p w14:paraId="5F4C5E24">
      <w:pPr>
        <w:bidi w:val="0"/>
        <w:rPr>
          <w:rFonts w:hint="eastAsia"/>
          <w:color w:val="auto"/>
        </w:rPr>
      </w:pPr>
      <w:r>
        <w:rPr>
          <w:rFonts w:hint="eastAsia"/>
          <w:color w:val="auto"/>
        </w:rPr>
        <w:t>第十三条  煤矿及煤矿企业、煤矿安全监管部门应当建立监测预警处置“值班查看－预警接警－响应处置－核查反馈”闭环工作流程，明确责任单位、人员及其具体工作职责、程序等内容，对预警信息及时响应处置。</w:t>
      </w:r>
    </w:p>
    <w:p w14:paraId="2879C0BA">
      <w:pPr>
        <w:bidi w:val="0"/>
        <w:rPr>
          <w:rFonts w:hint="eastAsia"/>
          <w:color w:val="auto"/>
        </w:rPr>
      </w:pPr>
      <w:r>
        <w:rPr>
          <w:rFonts w:hint="eastAsia"/>
          <w:color w:val="auto"/>
        </w:rPr>
        <w:t>第十四条  煤矿或者煤矿企业平台的煤矿安全监控系统必须具备自动报警功能和信息自动发送功能。预警信息必须立即自动发送至煤矿企业业主、技术负责人及相关部门负责人，煤矿矿长、副矿长、科队负责人、调度值班人员和驻矿安监员（国有企业驻矿管理专班人员）、就近救护队伍的负责人；省、市、县平台的预警信息应立即发送至本级煤矿安全监管监察部门的主要负责人、分管负责人、职能机构的煤矿安全监管人员、驻矿安监员、煤矿安全监管工作专班人员、区域矿山救护队伍的负责人和包保（矿）领导。</w:t>
      </w:r>
    </w:p>
    <w:p w14:paraId="07A07005">
      <w:pPr>
        <w:bidi w:val="0"/>
        <w:rPr>
          <w:rFonts w:hint="eastAsia"/>
          <w:color w:val="auto"/>
        </w:rPr>
      </w:pPr>
      <w:r>
        <w:rPr>
          <w:rFonts w:hint="eastAsia"/>
          <w:color w:val="auto"/>
        </w:rPr>
        <w:t>第十五条  煤矿应当坚持“逢预警接警、必响应处置”的原则。</w:t>
      </w:r>
    </w:p>
    <w:p w14:paraId="58C49CAC">
      <w:pPr>
        <w:bidi w:val="0"/>
        <w:rPr>
          <w:rFonts w:hint="eastAsia"/>
          <w:color w:val="auto"/>
        </w:rPr>
      </w:pPr>
      <w:r>
        <w:rPr>
          <w:rFonts w:hint="eastAsia"/>
          <w:color w:val="auto"/>
        </w:rPr>
        <w:t>（一）第一时间接警后，立即在国家矿山安全生产风险监测预警系统中完成接警操作，同步启动应急响应，迅速组织危险区域人员撤离，并严格落实风险防控措施，防止事态扩大。对于可能受威胁区域中尚未撤离的遇险（失联）人员，应及时邀请矿山救护队开展科学施救，全力保障人员安全。</w:t>
      </w:r>
    </w:p>
    <w:p w14:paraId="0A387130">
      <w:pPr>
        <w:bidi w:val="0"/>
        <w:rPr>
          <w:rFonts w:hint="eastAsia"/>
          <w:color w:val="auto"/>
        </w:rPr>
      </w:pPr>
      <w:r>
        <w:rPr>
          <w:rFonts w:hint="eastAsia"/>
          <w:color w:val="auto"/>
        </w:rPr>
        <w:t>（二）接警1小时内，须通过国家矿山安全生产风险监测预警系统填报初步原因及已采取的处置措施，并同步通过电话、监测预警业务工作群等渠道，向日常安全监管主体反馈初步原因与应急处置落实情况。此后每2小时续报一次，直至应急处置全部结束。</w:t>
      </w:r>
    </w:p>
    <w:p w14:paraId="0189B7E4">
      <w:pPr>
        <w:bidi w:val="0"/>
        <w:rPr>
          <w:rFonts w:hint="eastAsia"/>
          <w:color w:val="auto"/>
        </w:rPr>
      </w:pPr>
      <w:r>
        <w:rPr>
          <w:rFonts w:hint="eastAsia"/>
          <w:color w:val="auto"/>
        </w:rPr>
        <w:t>第十六条  煤矿</w:t>
      </w:r>
      <w:r>
        <w:rPr>
          <w:rFonts w:hint="eastAsia"/>
          <w:color w:val="auto"/>
          <w:lang w:eastAsia="zh-CN"/>
        </w:rPr>
        <w:t>预警</w:t>
      </w:r>
      <w:r>
        <w:rPr>
          <w:rFonts w:hint="eastAsia"/>
          <w:color w:val="auto"/>
        </w:rPr>
        <w:t>信息实行分级分类、精准避险制度。</w:t>
      </w:r>
    </w:p>
    <w:p w14:paraId="594CF983">
      <w:pPr>
        <w:bidi w:val="0"/>
        <w:rPr>
          <w:rFonts w:hint="eastAsia"/>
          <w:color w:val="auto"/>
        </w:rPr>
      </w:pPr>
      <w:r>
        <w:rPr>
          <w:rFonts w:hint="eastAsia"/>
          <w:color w:val="auto"/>
        </w:rPr>
        <w:t>（一）存在以下预警信息情形之一的，必须立即停止井下全部作业活动，并组织井下所有人员采取紧急撤离至地面的紧急避险措施。</w:t>
      </w:r>
    </w:p>
    <w:p w14:paraId="4B876248">
      <w:pPr>
        <w:bidi w:val="0"/>
        <w:rPr>
          <w:rFonts w:hint="eastAsia"/>
          <w:color w:val="auto"/>
        </w:rPr>
      </w:pPr>
      <w:r>
        <w:rPr>
          <w:rFonts w:hint="eastAsia"/>
          <w:color w:val="auto"/>
        </w:rPr>
        <w:t>1.发生瓦斯、一氧化碳、烟雾、水文指标、主要通风机停运等红色预警信息。</w:t>
      </w:r>
    </w:p>
    <w:p w14:paraId="49E75E22">
      <w:pPr>
        <w:bidi w:val="0"/>
        <w:rPr>
          <w:rFonts w:hint="eastAsia"/>
          <w:color w:val="auto"/>
        </w:rPr>
      </w:pPr>
      <w:r>
        <w:rPr>
          <w:rFonts w:hint="eastAsia"/>
          <w:color w:val="auto"/>
        </w:rPr>
        <w:t>2.总回风巷、总进风巷、采区进风巷、采掘工作面进风巷（含煤仓）发生瓦斯、一氧化碳预警信息。</w:t>
      </w:r>
    </w:p>
    <w:p w14:paraId="538B6A9E">
      <w:pPr>
        <w:bidi w:val="0"/>
        <w:rPr>
          <w:rFonts w:hint="eastAsia"/>
          <w:color w:val="auto"/>
        </w:rPr>
      </w:pPr>
      <w:r>
        <w:rPr>
          <w:rFonts w:hint="eastAsia"/>
          <w:color w:val="auto"/>
        </w:rPr>
        <w:t>3.24小时内发生瓦斯、一氧化碳、烟雾、水文指标、主要通风机停运等预警信息超过2次时。因提前报备的炸药爆破引起的采掘工作面回风巷一氧化碳</w:t>
      </w:r>
      <w:r>
        <w:rPr>
          <w:rFonts w:hint="eastAsia"/>
          <w:color w:val="auto"/>
          <w:lang w:eastAsia="zh-CN"/>
        </w:rPr>
        <w:t>蓝色、黄色</w:t>
      </w:r>
      <w:r>
        <w:rPr>
          <w:rFonts w:hint="eastAsia"/>
          <w:color w:val="auto"/>
        </w:rPr>
        <w:t>和</w:t>
      </w:r>
      <w:r>
        <w:rPr>
          <w:rFonts w:hint="eastAsia"/>
          <w:color w:val="auto"/>
          <w:lang w:eastAsia="zh-CN"/>
        </w:rPr>
        <w:t>橙</w:t>
      </w:r>
      <w:r>
        <w:rPr>
          <w:rFonts w:hint="eastAsia"/>
          <w:color w:val="auto"/>
        </w:rPr>
        <w:t>色</w:t>
      </w:r>
      <w:r>
        <w:rPr>
          <w:rFonts w:hint="eastAsia"/>
          <w:color w:val="auto"/>
        </w:rPr>
        <w:t>预警信息</w:t>
      </w:r>
      <w:r>
        <w:rPr>
          <w:rFonts w:hint="eastAsia"/>
          <w:color w:val="auto"/>
          <w:lang w:eastAsia="zh-CN"/>
        </w:rPr>
        <w:t>，</w:t>
      </w:r>
      <w:r>
        <w:rPr>
          <w:rFonts w:hint="eastAsia"/>
          <w:color w:val="auto"/>
        </w:rPr>
        <w:t>计划内停电、反风演习、瓦斯排放、系统升级</w:t>
      </w:r>
      <w:r>
        <w:rPr>
          <w:rFonts w:hint="eastAsia" w:ascii="Times New Roman" w:hAnsi="Times New Roman"/>
          <w:color w:val="auto"/>
          <w:lang w:eastAsia="zh-CN"/>
        </w:rPr>
        <w:t>、刷油漆、除锈剂、风筒胶、皮带硫化</w:t>
      </w:r>
      <w:r>
        <w:rPr>
          <w:rFonts w:hint="eastAsia"/>
          <w:color w:val="auto"/>
        </w:rPr>
        <w:t>等计划性作业所引发的预警信息除外。</w:t>
      </w:r>
    </w:p>
    <w:p w14:paraId="74E67154">
      <w:pPr>
        <w:bidi w:val="0"/>
        <w:rPr>
          <w:rFonts w:hint="eastAsia"/>
          <w:color w:val="auto"/>
        </w:rPr>
      </w:pPr>
      <w:r>
        <w:rPr>
          <w:rFonts w:hint="eastAsia"/>
          <w:color w:val="auto"/>
        </w:rPr>
        <w:t>4.发生预判可能出现瓦斯突出、瓦斯爆炸、自燃发火、透水等事故及征兆预警信息时。</w:t>
      </w:r>
    </w:p>
    <w:p w14:paraId="620C5025">
      <w:pPr>
        <w:bidi w:val="0"/>
        <w:rPr>
          <w:rFonts w:hint="eastAsia"/>
          <w:color w:val="auto"/>
        </w:rPr>
      </w:pPr>
      <w:r>
        <w:rPr>
          <w:rFonts w:hint="eastAsia"/>
          <w:color w:val="auto"/>
        </w:rPr>
        <w:t>（二）存在以下预警信息情形之一的，必须立即停止受影响区域内作业活动，并组织受影响区域人员立即采取紧急避险措施。</w:t>
      </w:r>
    </w:p>
    <w:p w14:paraId="74F71FDB">
      <w:pPr>
        <w:bidi w:val="0"/>
        <w:rPr>
          <w:rFonts w:hint="eastAsia"/>
          <w:color w:val="auto"/>
        </w:rPr>
      </w:pPr>
      <w:r>
        <w:rPr>
          <w:rFonts w:hint="eastAsia"/>
          <w:color w:val="auto"/>
        </w:rPr>
        <w:t>1.采煤工作面发生瓦斯、一氧化碳、烟雾等黄色、橙色预警信息时，必须立即停止该工作面及回风流下风侧所有作业活动，并组织该采煤工作面及回风流下风侧所有人员紧急就近撤离至总进风巷安全地点；发生蓝色预警信息时，必须立即停止该工作面及回风流下风侧所有作业活动，并组织该采煤工作面及回风流下风侧所有人员紧急就近撤离至采（盘）区进风巷安全地点。</w:t>
      </w:r>
    </w:p>
    <w:p w14:paraId="3768798D">
      <w:pPr>
        <w:bidi w:val="0"/>
        <w:rPr>
          <w:rFonts w:hint="eastAsia"/>
          <w:color w:val="auto"/>
        </w:rPr>
      </w:pPr>
      <w:r>
        <w:rPr>
          <w:rFonts w:hint="eastAsia"/>
          <w:color w:val="auto"/>
        </w:rPr>
        <w:t>2.掘进工作面发生瓦斯、一氧化碳、烟雾、风筒等黄色、橙色预警信息时，必须立即停止该工作面及回风流下风侧所有作业活动，并组织该掘进工作面及回风流下风侧所有人员紧急就近撤离至总进风巷安全地点；发生蓝色预警信息时，必须立即停止该工作面及回风流下风侧所有作业活动，并组织该掘进工作面及回风流下风侧所有人员紧急就近撤离至全风压进风巷安全地点。</w:t>
      </w:r>
    </w:p>
    <w:p w14:paraId="40BA5D7A">
      <w:pPr>
        <w:bidi w:val="0"/>
        <w:rPr>
          <w:rFonts w:hint="eastAsia"/>
          <w:color w:val="auto"/>
        </w:rPr>
      </w:pPr>
      <w:r>
        <w:rPr>
          <w:rFonts w:hint="eastAsia"/>
          <w:color w:val="auto"/>
        </w:rPr>
        <w:t>3.井下钻孔施工、巷道维修等作业点发生瓦斯、一氧化碳等黄色、橙色预警信息时，必须立即停止该作业点及回风流下风侧所有作业活动，并组织该作业点及回风流下风侧所有人员紧急就近撤离至总进风巷安全地点；发生蓝色预警时，必须立即停止该作业点及回风流下风侧所有作业活动，并组织该作业点及回风流下风侧所有人员紧急就近撤离至全风压进风巷安全地点。</w:t>
      </w:r>
    </w:p>
    <w:p w14:paraId="4980007F">
      <w:pPr>
        <w:bidi w:val="0"/>
        <w:rPr>
          <w:rFonts w:hint="eastAsia"/>
          <w:color w:val="auto"/>
        </w:rPr>
      </w:pPr>
      <w:r>
        <w:rPr>
          <w:rFonts w:hint="eastAsia"/>
          <w:color w:val="auto"/>
        </w:rPr>
        <w:t>4.采（盘）区回风巷内发生瓦斯、一氧化碳、烟雾等蓝色、黄色、橙色预警信息时</w:t>
      </w:r>
      <w:r>
        <w:rPr>
          <w:rFonts w:hint="eastAsia"/>
          <w:color w:val="auto"/>
          <w:lang w:eastAsia="zh-CN"/>
        </w:rPr>
        <w:t>（</w:t>
      </w:r>
      <w:r>
        <w:rPr>
          <w:rFonts w:hint="eastAsia"/>
          <w:color w:val="auto"/>
        </w:rPr>
        <w:t>因提前报备的炸药爆破引起的</w:t>
      </w:r>
      <w:r>
        <w:rPr>
          <w:rFonts w:hint="eastAsia"/>
          <w:color w:val="auto"/>
          <w:lang w:eastAsia="zh-CN"/>
        </w:rPr>
        <w:t>除外）</w:t>
      </w:r>
      <w:r>
        <w:rPr>
          <w:rFonts w:hint="eastAsia"/>
          <w:color w:val="auto"/>
        </w:rPr>
        <w:t>，必须立即停止该采（盘）区内及回风流下风侧所有作业活动，并组织该采（盘）区及回风流下风侧所有人员紧急就近撤离至总进风巷安全地点。</w:t>
      </w:r>
    </w:p>
    <w:p w14:paraId="4F89919F">
      <w:pPr>
        <w:bidi w:val="0"/>
        <w:rPr>
          <w:rFonts w:hint="eastAsia"/>
          <w:color w:val="auto"/>
        </w:rPr>
      </w:pPr>
      <w:r>
        <w:rPr>
          <w:rFonts w:hint="eastAsia"/>
          <w:color w:val="auto"/>
        </w:rPr>
        <w:t>5.其他作业地点发生瓦斯、一氧化碳等蓝色、黄色、橙色预警信息时，必须停止该地点作业活动，并组织该地点及受影响区域人员紧急就近撤离至全风压进风巷安全地点。</w:t>
      </w:r>
    </w:p>
    <w:p w14:paraId="70C7295C">
      <w:pPr>
        <w:bidi w:val="0"/>
        <w:rPr>
          <w:rFonts w:hint="eastAsia"/>
          <w:color w:val="auto"/>
        </w:rPr>
      </w:pPr>
      <w:r>
        <w:rPr>
          <w:rFonts w:hint="eastAsia"/>
          <w:color w:val="auto"/>
        </w:rPr>
        <w:t>（三）发生水文指标蓝色、黄色、橙色预警信息时，必须立即停止异常地点水平及以下的所有作业活动，并组织异常地点水平及以下的所有人员紧急就近撤离至上一水平或地面安全地点。</w:t>
      </w:r>
    </w:p>
    <w:p w14:paraId="3F5193F9">
      <w:pPr>
        <w:bidi w:val="0"/>
        <w:rPr>
          <w:rFonts w:hint="eastAsia"/>
          <w:color w:val="auto"/>
        </w:rPr>
      </w:pPr>
      <w:r>
        <w:rPr>
          <w:rFonts w:hint="eastAsia"/>
          <w:color w:val="auto"/>
        </w:rPr>
        <w:t>（四）发生人员定位系统蓝色、黄色预警信息时，除井下交接班外，必须立即停止超定员的采掘作业地点，并组织该作业点人员紧急撤离至总进风巷内。发生人员定位系统橙色、红色预警信息时，必须立即停止报警地点作业活动，并立即启动应急预案组织对求救人员进行救援。</w:t>
      </w:r>
    </w:p>
    <w:p w14:paraId="543BAE13">
      <w:pPr>
        <w:bidi w:val="0"/>
        <w:rPr>
          <w:rFonts w:hint="eastAsia"/>
          <w:color w:val="auto"/>
        </w:rPr>
      </w:pPr>
      <w:r>
        <w:rPr>
          <w:rFonts w:hint="eastAsia"/>
          <w:color w:val="auto"/>
        </w:rPr>
        <w:t>（五）发生数据联网传输预警信息时，经日常安全监管主体现场核实，安全监控、人员定位等矿端监测监控系统运行正常的，必须立即启动应急预案，采取补救措施，并组织相关人员进行核查调查处置。矿端监测监控系统运行中断的，应立即组织井下所有人员紧急撤离至地面安全地点。</w:t>
      </w:r>
    </w:p>
    <w:p w14:paraId="735ADB22">
      <w:pPr>
        <w:bidi w:val="0"/>
        <w:rPr>
          <w:rFonts w:hint="eastAsia"/>
          <w:color w:val="auto"/>
        </w:rPr>
      </w:pPr>
      <w:r>
        <w:rPr>
          <w:rFonts w:hint="eastAsia"/>
          <w:color w:val="auto"/>
        </w:rPr>
        <w:t>第十七条  煤矿企业应遵循“同步预警接警、共同响应处置”原则，第一时间在国家矿山安全生产风险监测预警系统中完成接警。接警后，须对所属煤矿的预警响应与处置工作进行全程跟踪、指导和督查；必要时，应派员赶赴现场协助处置。</w:t>
      </w:r>
    </w:p>
    <w:p w14:paraId="088116C1">
      <w:pPr>
        <w:bidi w:val="0"/>
        <w:rPr>
          <w:rFonts w:hint="eastAsia"/>
          <w:color w:val="auto"/>
        </w:rPr>
      </w:pPr>
      <w:r>
        <w:rPr>
          <w:rFonts w:hint="eastAsia"/>
          <w:color w:val="auto"/>
        </w:rPr>
        <w:t>第十八条  煤矿企业及煤矿应当分析研判各类预警信息的产生原因、处置情况，制定并落实重大安全风险防控和监测预警处置工作改进措施，采取措施减少误报警。</w:t>
      </w:r>
    </w:p>
    <w:p w14:paraId="01CCCCEC">
      <w:pPr>
        <w:bidi w:val="0"/>
        <w:rPr>
          <w:rFonts w:hint="eastAsia"/>
          <w:color w:val="auto"/>
        </w:rPr>
      </w:pPr>
      <w:r>
        <w:rPr>
          <w:rFonts w:hint="eastAsia"/>
          <w:color w:val="auto"/>
        </w:rPr>
        <w:t>第十九条  市县级煤矿安全监管部门应当按照“分级预警接警、指导响应处置”的原则，第一时间在国家矿山安全生产风险监测预警系统中完成接警，并对辖区煤矿预警信息响应处置工作进行跟踪指导和督促检查，对煤矿及煤矿企业未及时接警的、1小时内未反馈报警原因及处置措施的、报警原因及处置措施有问题的，由日常安全监管主体进行督办，必要时应派员赴现场协助处置。</w:t>
      </w:r>
    </w:p>
    <w:p w14:paraId="64F19616">
      <w:pPr>
        <w:bidi w:val="0"/>
        <w:rPr>
          <w:rFonts w:hint="eastAsia"/>
          <w:color w:val="auto"/>
        </w:rPr>
      </w:pPr>
      <w:r>
        <w:rPr>
          <w:rFonts w:hint="eastAsia"/>
          <w:color w:val="auto"/>
        </w:rPr>
        <w:t>第二十条  煤矿监测预警处置工作坚持依法依规、科学合理、实事求是，各级煤矿安全监管监察部门不得过度执法、煤矿上级公司不得过度考核。</w:t>
      </w:r>
    </w:p>
    <w:p w14:paraId="2333E513">
      <w:pPr>
        <w:bidi w:val="0"/>
        <w:rPr>
          <w:rFonts w:hint="eastAsia"/>
          <w:color w:val="auto"/>
        </w:rPr>
      </w:pPr>
      <w:r>
        <w:rPr>
          <w:rFonts w:hint="eastAsia"/>
          <w:color w:val="auto"/>
        </w:rPr>
        <w:t>第二十一条  煤矿监测预警信息核查调查坚持分类分级原则，由监管监察部门负责核查的预警信息核查工作，禁止委托煤矿或煤矿企业代替调查。</w:t>
      </w:r>
    </w:p>
    <w:p w14:paraId="46BE1B73">
      <w:pPr>
        <w:bidi w:val="0"/>
        <w:rPr>
          <w:rFonts w:hint="eastAsia"/>
          <w:color w:val="auto"/>
        </w:rPr>
      </w:pPr>
      <w:r>
        <w:rPr>
          <w:rFonts w:hint="eastAsia"/>
          <w:color w:val="auto"/>
        </w:rPr>
        <w:t>（一）煤矿蓝色预警信息由煤矿或煤矿企业组织核查调查；</w:t>
      </w:r>
    </w:p>
    <w:p w14:paraId="4EB242E5">
      <w:pPr>
        <w:bidi w:val="0"/>
        <w:rPr>
          <w:rFonts w:hint="eastAsia"/>
          <w:color w:val="auto"/>
        </w:rPr>
      </w:pPr>
      <w:r>
        <w:rPr>
          <w:rFonts w:hint="eastAsia"/>
          <w:color w:val="auto"/>
        </w:rPr>
        <w:t>（二）煤矿黄色预警信息由日常安全监管主体会同国家矿山安全监察局四川局驻地执法处组织核查调查；</w:t>
      </w:r>
    </w:p>
    <w:p w14:paraId="6800AB58">
      <w:pPr>
        <w:bidi w:val="0"/>
        <w:rPr>
          <w:rFonts w:hint="eastAsia"/>
          <w:color w:val="auto"/>
        </w:rPr>
      </w:pPr>
      <w:r>
        <w:rPr>
          <w:rFonts w:hint="eastAsia"/>
          <w:color w:val="auto"/>
        </w:rPr>
        <w:t>（三）煤矿橙色预警信息由市级煤矿安全监管部门会同国家矿山安全监察局四川局驻地执法处组织核查调查；</w:t>
      </w:r>
    </w:p>
    <w:p w14:paraId="475A21A9">
      <w:pPr>
        <w:bidi w:val="0"/>
        <w:rPr>
          <w:rFonts w:hint="eastAsia"/>
          <w:color w:val="auto"/>
        </w:rPr>
      </w:pPr>
      <w:r>
        <w:rPr>
          <w:rFonts w:hint="eastAsia"/>
          <w:color w:val="auto"/>
        </w:rPr>
        <w:t>（四）煤矿红色预警信息由应急管理厅会同国家矿山安全监察局四川局组织核查调查；</w:t>
      </w:r>
    </w:p>
    <w:p w14:paraId="76455CF3">
      <w:pPr>
        <w:bidi w:val="0"/>
        <w:rPr>
          <w:rFonts w:hint="eastAsia"/>
          <w:color w:val="auto"/>
        </w:rPr>
      </w:pPr>
      <w:r>
        <w:rPr>
          <w:rFonts w:hint="eastAsia"/>
          <w:color w:val="auto"/>
        </w:rPr>
        <w:t>（五）必要时上级煤矿安全监管部门可会同国家矿山安全监察局四川局提级核查和督办。</w:t>
      </w:r>
    </w:p>
    <w:p w14:paraId="12673275">
      <w:pPr>
        <w:bidi w:val="0"/>
        <w:rPr>
          <w:rFonts w:hint="eastAsia"/>
          <w:color w:val="auto"/>
        </w:rPr>
      </w:pPr>
      <w:r>
        <w:rPr>
          <w:rFonts w:hint="eastAsia"/>
          <w:color w:val="auto"/>
        </w:rPr>
        <w:t>（六）提前向日常安全监管主体报备后产生的下列预警信息，经日常安全监管主体同意后，可由煤矿或煤矿企业自行组织核查调查处置，日常安全监管主体负责跟踪督导，原则上不通报：</w:t>
      </w:r>
    </w:p>
    <w:p w14:paraId="701AE912">
      <w:pPr>
        <w:bidi w:val="0"/>
        <w:rPr>
          <w:rFonts w:hint="eastAsia"/>
          <w:color w:val="auto"/>
        </w:rPr>
      </w:pPr>
      <w:r>
        <w:rPr>
          <w:rFonts w:hint="eastAsia"/>
          <w:color w:val="auto"/>
        </w:rPr>
        <w:t>1.开展反风演习及计划内停电停风造成的预警信息。</w:t>
      </w:r>
    </w:p>
    <w:p w14:paraId="4B16C577">
      <w:pPr>
        <w:bidi w:val="0"/>
        <w:rPr>
          <w:rFonts w:hint="eastAsia"/>
          <w:color w:val="auto"/>
        </w:rPr>
      </w:pPr>
      <w:r>
        <w:rPr>
          <w:rFonts w:hint="eastAsia"/>
          <w:color w:val="auto"/>
        </w:rPr>
        <w:t>2.开展油漆、除锈剂、风筒胶、皮带硫化作业等产生的一氧化碳黄色预警信息。</w:t>
      </w:r>
    </w:p>
    <w:p w14:paraId="06A6533E">
      <w:pPr>
        <w:bidi w:val="0"/>
        <w:rPr>
          <w:rFonts w:hint="eastAsia"/>
          <w:color w:val="auto"/>
        </w:rPr>
      </w:pPr>
      <w:r>
        <w:rPr>
          <w:rFonts w:hint="eastAsia"/>
          <w:color w:val="auto"/>
        </w:rPr>
        <w:t>3.炸药爆破产生的一氧化碳黄色、橙色预警信息。</w:t>
      </w:r>
    </w:p>
    <w:p w14:paraId="34F40960">
      <w:pPr>
        <w:bidi w:val="0"/>
        <w:rPr>
          <w:rFonts w:hint="eastAsia"/>
          <w:color w:val="auto"/>
        </w:rPr>
      </w:pPr>
      <w:r>
        <w:rPr>
          <w:rFonts w:hint="eastAsia"/>
          <w:color w:val="auto"/>
        </w:rPr>
        <w:t>4.传感器标校试断电等造成的误报警。</w:t>
      </w:r>
    </w:p>
    <w:p w14:paraId="5A14ACF1">
      <w:pPr>
        <w:bidi w:val="0"/>
        <w:rPr>
          <w:rFonts w:hint="eastAsia"/>
          <w:color w:val="auto"/>
        </w:rPr>
      </w:pPr>
      <w:r>
        <w:rPr>
          <w:rFonts w:hint="eastAsia"/>
          <w:color w:val="auto"/>
        </w:rPr>
        <w:t>5.因有计划集中排水生产的涌水量预警信息。</w:t>
      </w:r>
    </w:p>
    <w:p w14:paraId="2B717B9F">
      <w:pPr>
        <w:bidi w:val="0"/>
        <w:rPr>
          <w:rFonts w:hint="eastAsia"/>
          <w:color w:val="auto"/>
        </w:rPr>
      </w:pPr>
      <w:r>
        <w:rPr>
          <w:rFonts w:hint="eastAsia"/>
          <w:color w:val="auto"/>
        </w:rPr>
        <w:t>（七）经日常安全监管主体现场核实，确认预警由以下原因引发时，原则上由煤矿或煤矿企业自行组织核查调查处置，日常安全监管主体负责跟踪督导，原则上不通报。</w:t>
      </w:r>
    </w:p>
    <w:p w14:paraId="4741DB38">
      <w:pPr>
        <w:bidi w:val="0"/>
        <w:rPr>
          <w:rFonts w:hint="eastAsia"/>
          <w:color w:val="auto"/>
        </w:rPr>
      </w:pPr>
      <w:r>
        <w:rPr>
          <w:rFonts w:hint="eastAsia"/>
          <w:color w:val="auto"/>
        </w:rPr>
        <w:t>1.柴油动力设备尾气造成的一氧化碳黄色预警信息。</w:t>
      </w:r>
    </w:p>
    <w:p w14:paraId="0722B5C4">
      <w:pPr>
        <w:bidi w:val="0"/>
        <w:rPr>
          <w:rFonts w:hint="eastAsia"/>
          <w:color w:val="auto"/>
        </w:rPr>
      </w:pPr>
      <w:r>
        <w:rPr>
          <w:rFonts w:hint="eastAsia"/>
          <w:color w:val="auto"/>
        </w:rPr>
        <w:t>2.打钻喷孔造成的瓦斯黄色预警信息。</w:t>
      </w:r>
    </w:p>
    <w:p w14:paraId="7E527BCE">
      <w:pPr>
        <w:bidi w:val="0"/>
        <w:rPr>
          <w:rFonts w:hint="eastAsia"/>
          <w:color w:val="auto"/>
        </w:rPr>
      </w:pPr>
      <w:r>
        <w:rPr>
          <w:rFonts w:hint="eastAsia"/>
          <w:color w:val="auto"/>
        </w:rPr>
        <w:t>3.传感器损坏造成的误报警。</w:t>
      </w:r>
    </w:p>
    <w:p w14:paraId="6F7E1FE5">
      <w:pPr>
        <w:bidi w:val="0"/>
        <w:rPr>
          <w:rFonts w:hint="eastAsia"/>
          <w:color w:val="auto"/>
        </w:rPr>
      </w:pPr>
      <w:r>
        <w:rPr>
          <w:rFonts w:hint="eastAsia"/>
          <w:color w:val="auto"/>
        </w:rPr>
        <w:t>4.降雨量预警信息。</w:t>
      </w:r>
    </w:p>
    <w:p w14:paraId="32B582BC">
      <w:pPr>
        <w:bidi w:val="0"/>
        <w:rPr>
          <w:rFonts w:hint="eastAsia"/>
          <w:color w:val="auto"/>
        </w:rPr>
      </w:pPr>
      <w:r>
        <w:rPr>
          <w:rFonts w:hint="eastAsia"/>
          <w:color w:val="auto"/>
        </w:rPr>
        <w:t>5.因自然灾害、极端天气、运营商网络故障等不可抗力因素，导致监测监控设备损坏、软件系统故障、数据联网上传中断等产生的预警信息。</w:t>
      </w:r>
    </w:p>
    <w:p w14:paraId="39F3277A">
      <w:pPr>
        <w:bidi w:val="0"/>
        <w:rPr>
          <w:rFonts w:hint="eastAsia"/>
          <w:color w:val="auto"/>
        </w:rPr>
      </w:pPr>
      <w:r>
        <w:rPr>
          <w:rFonts w:hint="eastAsia"/>
          <w:color w:val="auto"/>
        </w:rPr>
        <w:t>第二十二条  煤矿监测预警信息核查结果应由核查单位于预警信息发出之日起10个工作日内上传至国家矿山安全生产风险监测预警系统及地方监管部门监测预警系统，并详细记录核查处置情况。由煤矿及煤矿企业自主核查处置的监测预警信息，应当将核查处置情况书面报送日常安全监管主体和国家矿山安全监察局四川局驻地执法处备查。由日常安全监管主体负责核查处置的监测预警信息，应当将核查处置情况书面报送上级煤矿安全监管部门和国家矿山安全监察局四川局驻地执法处备查。由市级煤矿安全监管部门核查处置的监测预警信息，应当将核查处置情况书面报送应急管理厅和国家矿山安全监察局四川局备查。</w:t>
      </w:r>
    </w:p>
    <w:p w14:paraId="32231169">
      <w:pPr>
        <w:bidi w:val="0"/>
        <w:rPr>
          <w:rFonts w:hint="eastAsia"/>
          <w:color w:val="auto"/>
        </w:rPr>
      </w:pPr>
      <w:r>
        <w:rPr>
          <w:rFonts w:hint="eastAsia"/>
          <w:color w:val="auto"/>
        </w:rPr>
        <w:t>第二十三条  煤矿监测预警信息核查调查应做到内容齐全、逻辑清晰、结论准确，核查报告必须包含以下内容。</w:t>
      </w:r>
    </w:p>
    <w:p w14:paraId="2F759D76">
      <w:pPr>
        <w:bidi w:val="0"/>
        <w:rPr>
          <w:rFonts w:hint="eastAsia"/>
          <w:color w:val="auto"/>
        </w:rPr>
      </w:pPr>
      <w:r>
        <w:rPr>
          <w:rFonts w:hint="eastAsia"/>
          <w:color w:val="auto"/>
        </w:rPr>
        <w:t>（一）企业基本情况。包括矿井证照有效期、采掘部署核定情况、主要生产系统和安全系统情况、作业头面核定情况等。</w:t>
      </w:r>
    </w:p>
    <w:p w14:paraId="4850F479">
      <w:pPr>
        <w:bidi w:val="0"/>
        <w:rPr>
          <w:rFonts w:hint="eastAsia"/>
          <w:color w:val="auto"/>
        </w:rPr>
      </w:pPr>
      <w:r>
        <w:rPr>
          <w:rFonts w:hint="eastAsia"/>
          <w:color w:val="auto"/>
        </w:rPr>
        <w:t>（二）报警地点概况。报警地点当班作业人数和生产作业情况、传感器设置情况，报警传感器使用维护、标校、检定，灾害治理情况等。</w:t>
      </w:r>
    </w:p>
    <w:p w14:paraId="1EA75D67">
      <w:pPr>
        <w:bidi w:val="0"/>
        <w:rPr>
          <w:rFonts w:hint="eastAsia"/>
          <w:color w:val="auto"/>
        </w:rPr>
      </w:pPr>
      <w:r>
        <w:rPr>
          <w:rFonts w:hint="eastAsia"/>
          <w:color w:val="auto"/>
        </w:rPr>
        <w:t>（三）应急处置情况。包括报警详细经过、煤矿及煤矿上级公司和各级监管部门响应情况、现场处置应对情况等。</w:t>
      </w:r>
    </w:p>
    <w:p w14:paraId="6E07BDC6">
      <w:pPr>
        <w:bidi w:val="0"/>
        <w:rPr>
          <w:rFonts w:hint="eastAsia"/>
          <w:color w:val="auto"/>
        </w:rPr>
      </w:pPr>
      <w:r>
        <w:rPr>
          <w:rFonts w:hint="eastAsia"/>
          <w:color w:val="auto"/>
        </w:rPr>
        <w:t>（四）现场核查情况。包括地面核查情况和井下核查情况，地面主要核查监测传感器数据曲线、井下人员轨迹、调度处置情况、监测传感器管理台账等。井下主要核查报警传感器安设情况、报警地点现场勘察等。</w:t>
      </w:r>
    </w:p>
    <w:p w14:paraId="127AFED6">
      <w:pPr>
        <w:bidi w:val="0"/>
        <w:rPr>
          <w:rFonts w:hint="eastAsia"/>
          <w:color w:val="auto"/>
        </w:rPr>
      </w:pPr>
      <w:r>
        <w:rPr>
          <w:rFonts w:hint="eastAsia"/>
          <w:color w:val="auto"/>
        </w:rPr>
        <w:t>（五）报警原因分析。包括直接原因和间接原因，直接原因必须真实、清楚，分析间接原因时必须从系统是否完善、设施是否可靠、灾害治理是否达标、应急措施是否落实、安全培训是否到位、现场管理是否到位、责任落实是否到位等方面深入剖析查找，采用排除法，每项原因分析后都要有明确结论。</w:t>
      </w:r>
    </w:p>
    <w:p w14:paraId="73ADFCAE">
      <w:pPr>
        <w:bidi w:val="0"/>
        <w:rPr>
          <w:rFonts w:hint="eastAsia"/>
          <w:color w:val="auto"/>
        </w:rPr>
      </w:pPr>
      <w:r>
        <w:rPr>
          <w:rFonts w:hint="eastAsia"/>
          <w:color w:val="auto"/>
        </w:rPr>
        <w:t>（六）安全防范措施。根据直接原因、间接原因反映出的深层次问题，针对性地提出明确的现场处置决定和整改要求、防范措施。</w:t>
      </w:r>
    </w:p>
    <w:p w14:paraId="767C3238">
      <w:pPr>
        <w:bidi w:val="0"/>
        <w:rPr>
          <w:rFonts w:hint="eastAsia"/>
          <w:color w:val="auto"/>
        </w:rPr>
      </w:pPr>
      <w:r>
        <w:rPr>
          <w:rFonts w:hint="eastAsia"/>
          <w:color w:val="auto"/>
        </w:rPr>
        <w:t>（七）责任追究情况。根据超限报警原因及责任分析，严格按照相关法律法规对煤矿企业及相关责任人员进行责任追究。</w:t>
      </w:r>
    </w:p>
    <w:p w14:paraId="472CC48D">
      <w:pPr>
        <w:bidi w:val="0"/>
        <w:rPr>
          <w:rFonts w:hint="eastAsia"/>
          <w:color w:val="auto"/>
        </w:rPr>
      </w:pPr>
      <w:r>
        <w:rPr>
          <w:rFonts w:hint="eastAsia"/>
          <w:color w:val="auto"/>
        </w:rPr>
        <w:t>第二十四条  核查处置必须坚持“科学严谨、依法依规、实事求是、注重实效”和“四不放过”（原因未查清不放过、责任人员未受到处理不放过，职工未受到教育不放过，防范措施未落实不放过）的原则。原因未查清、防范措施未落实之前，煤矿不得擅自恢复作业。</w:t>
      </w:r>
    </w:p>
    <w:p w14:paraId="18D8CABE">
      <w:pPr>
        <w:bidi w:val="0"/>
        <w:rPr>
          <w:rFonts w:hint="eastAsia"/>
          <w:color w:val="auto"/>
        </w:rPr>
      </w:pPr>
      <w:r>
        <w:rPr>
          <w:rFonts w:hint="eastAsia"/>
          <w:color w:val="auto"/>
        </w:rPr>
        <w:t>由煤矿及上级公司自主核查处置的监测预警信息，核查处置结束后，应当由当班带班矿领导组织超限地点的瓦斯检查工、班组长、跟班队干、专业技术人员等进行现场安全风险研判、隐患排查，确认安全防范措施已落实、作业现场符合安全条件，向煤矿矿长、煤矿企业主要负责人汇报同意后，方可恢复作业活动。</w:t>
      </w:r>
    </w:p>
    <w:p w14:paraId="06226D68">
      <w:pPr>
        <w:bidi w:val="0"/>
        <w:rPr>
          <w:rFonts w:hint="eastAsia"/>
          <w:color w:val="auto"/>
        </w:rPr>
      </w:pPr>
      <w:r>
        <w:rPr>
          <w:rFonts w:hint="eastAsia"/>
          <w:color w:val="auto"/>
        </w:rPr>
        <w:t>由监管监察部门组织核查处置的监测预警信息，核查处置结束后，应当由煤矿矿长或总工程师组织相关部门进行安全风险研判、隐患排查，确认安全防范措施已落实、作业现场符合安全条件，向日常安全监管主体申请验收合格后，方可恢复作业活动。</w:t>
      </w:r>
    </w:p>
    <w:p w14:paraId="43E8775B">
      <w:pPr>
        <w:bidi w:val="0"/>
        <w:rPr>
          <w:rFonts w:hint="eastAsia"/>
          <w:color w:val="auto"/>
        </w:rPr>
      </w:pPr>
      <w:r>
        <w:rPr>
          <w:rFonts w:hint="eastAsia"/>
          <w:color w:val="auto"/>
        </w:rPr>
        <w:t>第二十五条  煤矿、煤矿企业和各级煤矿安全监管监察部门应当定期对本单位和所辖煤矿各类预警信息的产生原因、处置情况等进行分析研判和通报，采取针对性措施，推动源头治理和超前治理。</w:t>
      </w:r>
    </w:p>
    <w:p w14:paraId="65E589BB">
      <w:pPr>
        <w:bidi w:val="0"/>
        <w:rPr>
          <w:rFonts w:hint="eastAsia"/>
          <w:color w:val="auto"/>
        </w:rPr>
      </w:pPr>
      <w:r>
        <w:rPr>
          <w:rFonts w:hint="eastAsia"/>
          <w:color w:val="auto"/>
        </w:rPr>
        <w:t>第二十六条  煤矿及煤矿企业应当确保监测预警系统安全稳定运行，数据上传中的各网络节点必须具备断点续传功能。</w:t>
      </w:r>
    </w:p>
    <w:p w14:paraId="4968F876">
      <w:pPr>
        <w:bidi w:val="0"/>
        <w:rPr>
          <w:rFonts w:hint="eastAsia"/>
          <w:color w:val="auto"/>
        </w:rPr>
      </w:pPr>
      <w:r>
        <w:rPr>
          <w:rFonts w:hint="eastAsia"/>
          <w:color w:val="auto"/>
        </w:rPr>
        <w:t>因机房有计划停电、设备检修等原因可能导致数据联网上传中断的，以及因爆破、计划内停电、反风演习、传感器标校或断电试验、瓦斯排放等原因可能导致产生预警信息的，煤矿应当提前2小时通过监测预警系统进行报备，作业前30分钟通过电话或业务工作群等方式向日常安全监管主体报备。报备时限应当实事求是，严禁“停短报长”。发生突发性断电、断网等情况的，应当立即组织处置并向日常安全监管主体报告。</w:t>
      </w:r>
    </w:p>
    <w:p w14:paraId="6B12ADE1">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第五章  监督检查</w:t>
      </w:r>
    </w:p>
    <w:p w14:paraId="7EBAC38F">
      <w:pPr>
        <w:bidi w:val="0"/>
        <w:rPr>
          <w:rFonts w:hint="eastAsia"/>
          <w:color w:val="auto"/>
        </w:rPr>
      </w:pPr>
      <w:r>
        <w:rPr>
          <w:rFonts w:hint="eastAsia"/>
          <w:color w:val="auto"/>
        </w:rPr>
        <w:t>第二十七条  各级煤矿安全监管监察部门应当充分利用监测预警系统分析研判煤矿违法违规线索，并开展针对性核查。发现煤矿及煤矿企业、第三方服务机构及相关人员有以下情形的，应当依法依规严厉打击。涉嫌犯罪的，移送司法机关处理。</w:t>
      </w:r>
    </w:p>
    <w:p w14:paraId="09F0115E">
      <w:pPr>
        <w:bidi w:val="0"/>
        <w:rPr>
          <w:rFonts w:hint="eastAsia"/>
          <w:color w:val="auto"/>
        </w:rPr>
      </w:pPr>
      <w:r>
        <w:rPr>
          <w:rFonts w:hint="eastAsia"/>
          <w:color w:val="auto"/>
        </w:rPr>
        <w:t>（一）未按规定组织紧急避险撤人的。</w:t>
      </w:r>
    </w:p>
    <w:p w14:paraId="60538AB5">
      <w:pPr>
        <w:bidi w:val="0"/>
        <w:rPr>
          <w:rFonts w:hint="eastAsia"/>
          <w:color w:val="auto"/>
        </w:rPr>
      </w:pPr>
      <w:r>
        <w:rPr>
          <w:rFonts w:hint="eastAsia"/>
          <w:color w:val="auto"/>
        </w:rPr>
        <w:t>（二）故意隐瞒预警信息真实原因的。</w:t>
      </w:r>
    </w:p>
    <w:p w14:paraId="7BDED343">
      <w:pPr>
        <w:bidi w:val="0"/>
        <w:rPr>
          <w:rFonts w:hint="eastAsia"/>
          <w:color w:val="auto"/>
        </w:rPr>
      </w:pPr>
      <w:r>
        <w:rPr>
          <w:rFonts w:hint="eastAsia"/>
          <w:color w:val="auto"/>
        </w:rPr>
        <w:t>（三）人为干扰、破坏、屏蔽、关闭监测预警系统、监测监控设备及各类传感器，造成监测预警系统运行不正常或数据不真实的。</w:t>
      </w:r>
    </w:p>
    <w:p w14:paraId="29771570">
      <w:pPr>
        <w:bidi w:val="0"/>
        <w:rPr>
          <w:rFonts w:hint="eastAsia"/>
          <w:color w:val="auto"/>
        </w:rPr>
      </w:pPr>
      <w:r>
        <w:rPr>
          <w:rFonts w:hint="eastAsia"/>
          <w:color w:val="auto"/>
        </w:rPr>
        <w:t>（四）以逃避监管为目的，不按要求安装监测监控设备和上传数据的、安装使用两套及以上安全监控系统的（更换或升级系统过渡期除外）。</w:t>
      </w:r>
    </w:p>
    <w:p w14:paraId="63D09D46">
      <w:pPr>
        <w:bidi w:val="0"/>
        <w:rPr>
          <w:rFonts w:hint="eastAsia"/>
          <w:color w:val="auto"/>
        </w:rPr>
      </w:pPr>
      <w:r>
        <w:rPr>
          <w:rFonts w:hint="eastAsia"/>
          <w:color w:val="auto"/>
        </w:rPr>
        <w:t>（五）篡改、隐瞒、销毁监测监控数据、信息的。</w:t>
      </w:r>
    </w:p>
    <w:p w14:paraId="6C5EF0F3">
      <w:pPr>
        <w:bidi w:val="0"/>
        <w:rPr>
          <w:rFonts w:hint="eastAsia"/>
          <w:color w:val="auto"/>
        </w:rPr>
      </w:pPr>
      <w:r>
        <w:rPr>
          <w:rFonts w:hint="eastAsia"/>
          <w:color w:val="auto"/>
        </w:rPr>
        <w:t>（六）组织矿工不按规定携带人员位置标识卡下井，隐瞒下井人数的。</w:t>
      </w:r>
    </w:p>
    <w:p w14:paraId="1495B195">
      <w:pPr>
        <w:bidi w:val="0"/>
        <w:rPr>
          <w:rFonts w:hint="eastAsia"/>
          <w:color w:val="auto"/>
        </w:rPr>
      </w:pPr>
      <w:r>
        <w:rPr>
          <w:rFonts w:hint="eastAsia"/>
          <w:color w:val="auto"/>
        </w:rPr>
        <w:t>（七）预警信息分级标准故意设置不合理导致风险不能有效预警，致使事故发生的。</w:t>
      </w:r>
    </w:p>
    <w:p w14:paraId="601FE021">
      <w:pPr>
        <w:bidi w:val="0"/>
        <w:rPr>
          <w:rFonts w:hint="eastAsia"/>
          <w:color w:val="auto"/>
        </w:rPr>
      </w:pPr>
      <w:r>
        <w:rPr>
          <w:rFonts w:hint="eastAsia"/>
          <w:color w:val="auto"/>
        </w:rPr>
        <w:t>（八）非不可抗力因素导致报备作业时长明显大于实际作业时长的。</w:t>
      </w:r>
    </w:p>
    <w:p w14:paraId="609D8BEB">
      <w:pPr>
        <w:bidi w:val="0"/>
        <w:rPr>
          <w:rFonts w:hint="eastAsia"/>
          <w:color w:val="auto"/>
        </w:rPr>
      </w:pPr>
      <w:r>
        <w:rPr>
          <w:rFonts w:hint="eastAsia"/>
          <w:color w:val="auto"/>
        </w:rPr>
        <w:t>（九）采掘工作面回风巷T2传感器未实现视频监控的。</w:t>
      </w:r>
    </w:p>
    <w:p w14:paraId="114F89E5">
      <w:pPr>
        <w:bidi w:val="0"/>
        <w:rPr>
          <w:rFonts w:hint="eastAsia"/>
          <w:color w:val="auto"/>
        </w:rPr>
      </w:pPr>
      <w:r>
        <w:rPr>
          <w:rFonts w:hint="eastAsia"/>
          <w:color w:val="auto"/>
        </w:rPr>
        <w:t>凡被各级煤矿安全监管监察部门查处存在以上违法违规行为的，自查处之日起12个月内，发生预警信息时执行撤离至地面安全地点的紧急避险措施。</w:t>
      </w:r>
    </w:p>
    <w:p w14:paraId="7FB76241">
      <w:pPr>
        <w:bidi w:val="0"/>
        <w:rPr>
          <w:rFonts w:hint="eastAsia"/>
          <w:color w:val="auto"/>
        </w:rPr>
      </w:pPr>
      <w:r>
        <w:rPr>
          <w:rFonts w:hint="eastAsia"/>
          <w:color w:val="auto"/>
        </w:rPr>
        <w:t>第二十八条  国家矿山安全监察局四川局、煤矿安全监管部门应当将监测预警处置工作纳入煤矿安全“查企督政”检查内容，对发现的监测预警处置工作中存在共性、重点问题和煤矿重大安全风险，及时向有关煤矿企业、地方政府提出改善和加强安全生产监管工作的意见建议。</w:t>
      </w:r>
    </w:p>
    <w:p w14:paraId="36E42212">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第六章  附则</w:t>
      </w:r>
    </w:p>
    <w:p w14:paraId="735D5F1C">
      <w:pPr>
        <w:bidi w:val="0"/>
        <w:rPr>
          <w:rFonts w:hint="eastAsia"/>
          <w:color w:val="auto"/>
        </w:rPr>
      </w:pPr>
      <w:r>
        <w:rPr>
          <w:rFonts w:hint="eastAsia"/>
          <w:color w:val="auto"/>
        </w:rPr>
        <w:t>第二十九条  本办法由应急管理厅负责解释。</w:t>
      </w:r>
    </w:p>
    <w:p w14:paraId="2DD00A23">
      <w:pPr>
        <w:bidi w:val="0"/>
        <w:rPr>
          <w:color w:val="auto"/>
        </w:rPr>
      </w:pPr>
      <w:r>
        <w:rPr>
          <w:rFonts w:hint="eastAsia"/>
          <w:color w:val="auto"/>
        </w:rPr>
        <w:t>第三十条  本办法自印发之日起执行</w:t>
      </w:r>
      <w:r>
        <w:rPr>
          <w:rFonts w:hint="eastAsia"/>
          <w:color w:val="auto"/>
          <w:lang w:eastAsia="zh-CN"/>
        </w:rPr>
        <w:t>，有效期五年</w:t>
      </w:r>
      <w:r>
        <w:rPr>
          <w:rFonts w:hint="eastAsia"/>
          <w:color w:val="auto"/>
        </w:rPr>
        <w:t>。原《关于进一步加强煤矿瓦斯超限报警处置与追查管理工作的通知》（川应急函〔2020〕385号）《关于全面强化煤矿瓦斯超限处置的通知》（川应急函〔2021〕42号）《关于进一步规范煤矿各类监控报警处置与调查工作的通知》（川应急函〔2021〕55号）同时废止。</w:t>
      </w:r>
    </w:p>
    <w:p w14:paraId="3B7B7635">
      <w:pPr>
        <w:bidi w:val="0"/>
        <w:rPr>
          <w:color w:val="auto"/>
        </w:rPr>
      </w:pPr>
    </w:p>
    <w:p w14:paraId="01FA9CA5">
      <w:pPr>
        <w:rPr>
          <w:color w:val="auto"/>
        </w:rPr>
      </w:pPr>
      <w:r>
        <w:rPr>
          <w:color w:val="auto"/>
        </w:rPr>
        <w:br w:type="page"/>
      </w:r>
    </w:p>
    <w:p w14:paraId="3E12312D">
      <w:pPr>
        <w:keepNext w:val="0"/>
        <w:keepLines w:val="0"/>
        <w:pageBreakBefore w:val="0"/>
        <w:widowControl w:val="0"/>
        <w:kinsoku/>
        <w:wordWrap/>
        <w:overflowPunct/>
        <w:topLinePunct w:val="0"/>
        <w:autoSpaceDE w:val="0"/>
        <w:autoSpaceDN w:val="0"/>
        <w:bidi w:val="0"/>
        <w:adjustRightInd w:val="0"/>
        <w:snapToGrid w:val="0"/>
        <w:spacing w:line="550" w:lineRule="exact"/>
        <w:ind w:left="0" w:leftChars="0" w:firstLine="0" w:firstLineChars="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pacing w:val="-9"/>
          <w:sz w:val="32"/>
          <w:szCs w:val="32"/>
          <w:highlight w:val="none"/>
        </w:rPr>
        <w:t>附录</w:t>
      </w:r>
    </w:p>
    <w:p w14:paraId="4548CE59">
      <w:pPr>
        <w:pStyle w:val="6"/>
        <w:keepNext w:val="0"/>
        <w:keepLines w:val="0"/>
        <w:pageBreakBefore w:val="0"/>
        <w:widowControl w:val="0"/>
        <w:kinsoku/>
        <w:wordWrap/>
        <w:overflowPunct/>
        <w:topLinePunct w:val="0"/>
        <w:autoSpaceDE w:val="0"/>
        <w:autoSpaceDN w:val="0"/>
        <w:bidi w:val="0"/>
        <w:adjustRightInd w:val="0"/>
        <w:snapToGrid w:val="0"/>
        <w:spacing w:before="306" w:beforeLines="50" w:after="306" w:afterLines="50" w:line="550" w:lineRule="exact"/>
        <w:ind w:left="0" w:leftChars="0" w:firstLine="0" w:firstLineChars="0"/>
        <w:jc w:val="center"/>
        <w:textAlignment w:val="baseline"/>
        <w:outlineLvl w:val="1"/>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7"/>
          <w:sz w:val="44"/>
          <w:szCs w:val="44"/>
          <w:highlight w:val="none"/>
          <w:lang w:eastAsia="zh-CN"/>
        </w:rPr>
        <w:t>四川省煤矿</w:t>
      </w:r>
      <w:r>
        <w:rPr>
          <w:rFonts w:hint="eastAsia" w:ascii="方正小标宋简体" w:hAnsi="方正小标宋简体" w:eastAsia="方正小标宋简体" w:cs="方正小标宋简体"/>
          <w:color w:val="auto"/>
          <w:spacing w:val="7"/>
          <w:sz w:val="44"/>
          <w:szCs w:val="44"/>
          <w:highlight w:val="none"/>
        </w:rPr>
        <w:t>监测预警系统</w:t>
      </w:r>
      <w:r>
        <w:rPr>
          <w:rFonts w:hint="eastAsia" w:ascii="方正小标宋简体" w:hAnsi="方正小标宋简体" w:eastAsia="方正小标宋简体" w:cs="方正小标宋简体"/>
          <w:color w:val="auto"/>
          <w:spacing w:val="8"/>
          <w:sz w:val="44"/>
          <w:szCs w:val="44"/>
          <w:highlight w:val="none"/>
        </w:rPr>
        <w:t>预警信息分级标准</w:t>
      </w:r>
    </w:p>
    <w:p w14:paraId="29A04538">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3"/>
          <w:sz w:val="28"/>
          <w:szCs w:val="28"/>
          <w:highlight w:val="none"/>
        </w:rPr>
        <w:t>一、安全监控系统</w:t>
      </w:r>
    </w:p>
    <w:p w14:paraId="4A8698A2">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FangSong_GB2312" w:cs="Times New Roman"/>
          <w:color w:val="auto"/>
          <w:sz w:val="28"/>
          <w:szCs w:val="28"/>
          <w:highlight w:val="none"/>
        </w:rPr>
      </w:pPr>
      <w:r>
        <w:rPr>
          <w:rFonts w:hint="default" w:ascii="Times New Roman" w:hAnsi="Times New Roman" w:eastAsia="Times New Roman" w:cs="Times New Roman"/>
          <w:color w:val="auto"/>
          <w:spacing w:val="-2"/>
          <w:position w:val="1"/>
          <w:sz w:val="28"/>
          <w:szCs w:val="28"/>
          <w:highlight w:val="none"/>
        </w:rPr>
        <w:t>1.CH</w:t>
      </w:r>
      <w:r>
        <w:rPr>
          <w:rFonts w:hint="default" w:ascii="Times New Roman" w:hAnsi="Times New Roman" w:eastAsia="Times New Roman" w:cs="Times New Roman"/>
          <w:color w:val="auto"/>
          <w:spacing w:val="-2"/>
          <w:position w:val="-1"/>
          <w:sz w:val="18"/>
          <w:szCs w:val="18"/>
          <w:highlight w:val="none"/>
        </w:rPr>
        <w:t>4</w:t>
      </w:r>
    </w:p>
    <w:p w14:paraId="79C6E781">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70"/>
        <w:gridCol w:w="1855"/>
        <w:gridCol w:w="1876"/>
        <w:gridCol w:w="1915"/>
        <w:gridCol w:w="1232"/>
      </w:tblGrid>
      <w:tr w14:paraId="081D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14" w:type="pct"/>
            <w:vMerge w:val="restart"/>
            <w:tcBorders>
              <w:bottom w:val="nil"/>
            </w:tcBorders>
            <w:vAlign w:val="center"/>
          </w:tcPr>
          <w:p w14:paraId="1225DDF7">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position w:val="2"/>
                <w:highlight w:val="none"/>
              </w:rPr>
              <w:t>时长/T（min）</w:t>
            </w:r>
          </w:p>
        </w:tc>
        <w:tc>
          <w:tcPr>
            <w:tcW w:w="3885" w:type="pct"/>
            <w:gridSpan w:val="4"/>
            <w:vAlign w:val="center"/>
          </w:tcPr>
          <w:p w14:paraId="2DACA61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3"/>
                <w:highlight w:val="none"/>
              </w:rPr>
              <w:t>CH</w:t>
            </w:r>
            <w:r>
              <w:rPr>
                <w:rFonts w:hint="default" w:ascii="Times New Roman" w:hAnsi="Times New Roman" w:eastAsia="仿宋" w:cs="Times New Roman"/>
                <w:color w:val="auto"/>
                <w:spacing w:val="-3"/>
                <w:position w:val="-1"/>
                <w:sz w:val="15"/>
                <w:szCs w:val="15"/>
                <w:highlight w:val="none"/>
              </w:rPr>
              <w:t>4</w:t>
            </w:r>
            <w:r>
              <w:rPr>
                <w:rFonts w:hint="default" w:ascii="Times New Roman" w:hAnsi="Times New Roman" w:eastAsia="仿宋" w:cs="Times New Roman"/>
                <w:color w:val="auto"/>
                <w:spacing w:val="27"/>
                <w:position w:val="-1"/>
                <w:sz w:val="15"/>
                <w:szCs w:val="15"/>
                <w:highlight w:val="none"/>
              </w:rPr>
              <w:t xml:space="preserve"> </w:t>
            </w:r>
            <w:r>
              <w:rPr>
                <w:rFonts w:hint="default" w:ascii="Times New Roman" w:hAnsi="Times New Roman" w:eastAsia="仿宋" w:cs="Times New Roman"/>
                <w:color w:val="auto"/>
                <w:spacing w:val="-5"/>
                <w:highlight w:val="none"/>
              </w:rPr>
              <w:t>浓度（%）</w:t>
            </w:r>
          </w:p>
        </w:tc>
      </w:tr>
      <w:tr w14:paraId="633D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Merge w:val="continue"/>
            <w:tcBorders>
              <w:top w:val="nil"/>
            </w:tcBorders>
            <w:vAlign w:val="center"/>
          </w:tcPr>
          <w:p w14:paraId="72A858B9">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1"/>
                <w:highlight w:val="none"/>
              </w:rPr>
            </w:pPr>
          </w:p>
        </w:tc>
        <w:tc>
          <w:tcPr>
            <w:tcW w:w="1048" w:type="pct"/>
            <w:vAlign w:val="center"/>
          </w:tcPr>
          <w:p w14:paraId="77F48720">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1"/>
                <w:highlight w:val="none"/>
              </w:rPr>
              <w:t>1.0≤CH</w:t>
            </w:r>
            <w:r>
              <w:rPr>
                <w:rFonts w:hint="default" w:ascii="Times New Roman" w:hAnsi="Times New Roman" w:eastAsia="仿宋" w:cs="Times New Roman"/>
                <w:color w:val="auto"/>
                <w:spacing w:val="-2"/>
                <w:sz w:val="15"/>
                <w:szCs w:val="15"/>
                <w:highlight w:val="none"/>
              </w:rPr>
              <w:t>4</w:t>
            </w:r>
            <w:r>
              <w:rPr>
                <w:rFonts w:hint="default" w:ascii="Times New Roman" w:hAnsi="Times New Roman" w:eastAsia="仿宋" w:cs="Times New Roman"/>
                <w:color w:val="auto"/>
                <w:spacing w:val="-2"/>
                <w:position w:val="1"/>
                <w:highlight w:val="none"/>
              </w:rPr>
              <w:t>＜1.5</w:t>
            </w:r>
          </w:p>
        </w:tc>
        <w:tc>
          <w:tcPr>
            <w:tcW w:w="1060" w:type="pct"/>
            <w:vAlign w:val="center"/>
          </w:tcPr>
          <w:p w14:paraId="49FDBE55">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3"/>
                <w:position w:val="1"/>
                <w:highlight w:val="none"/>
              </w:rPr>
              <w:t>1.5 ≤CH</w:t>
            </w:r>
            <w:r>
              <w:rPr>
                <w:rFonts w:hint="default" w:ascii="Times New Roman" w:hAnsi="Times New Roman" w:eastAsia="仿宋" w:cs="Times New Roman"/>
                <w:color w:val="auto"/>
                <w:spacing w:val="5"/>
                <w:sz w:val="15"/>
                <w:szCs w:val="15"/>
                <w:highlight w:val="none"/>
              </w:rPr>
              <w:t>4</w:t>
            </w:r>
            <w:r>
              <w:rPr>
                <w:rFonts w:hint="default" w:ascii="Times New Roman" w:hAnsi="Times New Roman" w:eastAsia="仿宋" w:cs="Times New Roman"/>
                <w:color w:val="auto"/>
                <w:spacing w:val="-1"/>
                <w:position w:val="1"/>
                <w:highlight w:val="none"/>
              </w:rPr>
              <w:t>＜2.0</w:t>
            </w:r>
          </w:p>
        </w:tc>
        <w:tc>
          <w:tcPr>
            <w:tcW w:w="1082" w:type="pct"/>
            <w:vAlign w:val="center"/>
          </w:tcPr>
          <w:p w14:paraId="4178B7D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2.0≤CH</w:t>
            </w:r>
            <w:r>
              <w:rPr>
                <w:rFonts w:hint="default" w:ascii="Times New Roman" w:hAnsi="Times New Roman" w:eastAsia="仿宋" w:cs="Times New Roman"/>
                <w:color w:val="auto"/>
                <w:sz w:val="15"/>
                <w:szCs w:val="15"/>
                <w:highlight w:val="none"/>
              </w:rPr>
              <w:t>4</w:t>
            </w:r>
            <w:r>
              <w:rPr>
                <w:rFonts w:hint="default" w:ascii="Times New Roman" w:hAnsi="Times New Roman" w:eastAsia="仿宋" w:cs="Times New Roman"/>
                <w:color w:val="auto"/>
                <w:position w:val="1"/>
                <w:highlight w:val="none"/>
              </w:rPr>
              <w:t>＜3.0</w:t>
            </w:r>
          </w:p>
        </w:tc>
        <w:tc>
          <w:tcPr>
            <w:tcW w:w="693" w:type="pct"/>
            <w:vAlign w:val="center"/>
          </w:tcPr>
          <w:p w14:paraId="10F71B8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1"/>
                <w:highlight w:val="none"/>
              </w:rPr>
              <w:t>CH</w:t>
            </w:r>
            <w:r>
              <w:rPr>
                <w:rFonts w:hint="default" w:ascii="Times New Roman" w:hAnsi="Times New Roman" w:eastAsia="仿宋" w:cs="Times New Roman"/>
                <w:color w:val="auto"/>
                <w:spacing w:val="-2"/>
                <w:sz w:val="15"/>
                <w:szCs w:val="15"/>
                <w:highlight w:val="none"/>
              </w:rPr>
              <w:t>4</w:t>
            </w:r>
            <w:r>
              <w:rPr>
                <w:rFonts w:hint="default" w:ascii="Times New Roman" w:hAnsi="Times New Roman" w:eastAsia="仿宋" w:cs="Times New Roman"/>
                <w:color w:val="auto"/>
                <w:spacing w:val="24"/>
                <w:w w:val="102"/>
                <w:sz w:val="15"/>
                <w:szCs w:val="15"/>
                <w:highlight w:val="none"/>
              </w:rPr>
              <w:t xml:space="preserve"> </w:t>
            </w:r>
            <w:r>
              <w:rPr>
                <w:rFonts w:hint="default" w:ascii="Times New Roman" w:hAnsi="Times New Roman" w:eastAsia="仿宋" w:cs="Times New Roman"/>
                <w:color w:val="auto"/>
                <w:spacing w:val="-16"/>
                <w:position w:val="1"/>
                <w:highlight w:val="none"/>
              </w:rPr>
              <w:t>≥3.0</w:t>
            </w:r>
          </w:p>
        </w:tc>
      </w:tr>
      <w:tr w14:paraId="064C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25E41382">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T＜5</w:t>
            </w:r>
          </w:p>
        </w:tc>
        <w:tc>
          <w:tcPr>
            <w:tcW w:w="1048" w:type="pct"/>
            <w:vAlign w:val="center"/>
          </w:tcPr>
          <w:p w14:paraId="70AD92EC">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60" w:type="pct"/>
            <w:vAlign w:val="center"/>
          </w:tcPr>
          <w:p w14:paraId="4B9B866F">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82" w:type="pct"/>
            <w:vAlign w:val="center"/>
          </w:tcPr>
          <w:p w14:paraId="26B33533">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restart"/>
            <w:tcBorders>
              <w:bottom w:val="nil"/>
            </w:tcBorders>
            <w:vAlign w:val="center"/>
          </w:tcPr>
          <w:p w14:paraId="66B2505E">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3325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090B50F">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1"/>
                <w:highlight w:val="none"/>
              </w:rPr>
              <w:t>5 ≤T&lt;10</w:t>
            </w:r>
          </w:p>
        </w:tc>
        <w:tc>
          <w:tcPr>
            <w:tcW w:w="1048" w:type="pct"/>
            <w:vAlign w:val="center"/>
          </w:tcPr>
          <w:p w14:paraId="319F7367">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60" w:type="pct"/>
            <w:vAlign w:val="center"/>
          </w:tcPr>
          <w:p w14:paraId="5256C348">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082" w:type="pct"/>
            <w:vAlign w:val="center"/>
          </w:tcPr>
          <w:p w14:paraId="06924810">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continue"/>
            <w:tcBorders>
              <w:top w:val="nil"/>
              <w:bottom w:val="nil"/>
            </w:tcBorders>
            <w:vAlign w:val="top"/>
          </w:tcPr>
          <w:p w14:paraId="73F5DF41">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sz w:val="21"/>
                <w:highlight w:val="none"/>
              </w:rPr>
            </w:pPr>
          </w:p>
        </w:tc>
      </w:tr>
      <w:tr w14:paraId="442E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596B1B6C">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T≥10</w:t>
            </w:r>
          </w:p>
        </w:tc>
        <w:tc>
          <w:tcPr>
            <w:tcW w:w="1048" w:type="pct"/>
            <w:vAlign w:val="center"/>
          </w:tcPr>
          <w:p w14:paraId="68268576">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60" w:type="pct"/>
            <w:vAlign w:val="center"/>
          </w:tcPr>
          <w:p w14:paraId="6339F01C">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082" w:type="pct"/>
            <w:vAlign w:val="center"/>
          </w:tcPr>
          <w:p w14:paraId="251BCB01">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tcBorders>
            <w:vAlign w:val="top"/>
          </w:tcPr>
          <w:p w14:paraId="106564EA">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sz w:val="21"/>
                <w:highlight w:val="none"/>
              </w:rPr>
            </w:pPr>
          </w:p>
        </w:tc>
      </w:tr>
      <w:tr w14:paraId="7678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000" w:type="pct"/>
            <w:gridSpan w:val="5"/>
            <w:vAlign w:val="top"/>
          </w:tcPr>
          <w:p w14:paraId="573E500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spacing w:val="-4"/>
                <w:highlight w:val="none"/>
              </w:rPr>
              <w:t>注：采掘工作面进风巷</w:t>
            </w:r>
            <w:r>
              <w:rPr>
                <w:rFonts w:hint="default" w:ascii="Times New Roman" w:hAnsi="Times New Roman" w:eastAsia="仿宋" w:cs="Times New Roman"/>
                <w:color w:val="auto"/>
                <w:spacing w:val="-50"/>
                <w:highlight w:val="none"/>
              </w:rPr>
              <w:t xml:space="preserve"> </w:t>
            </w:r>
            <w:r>
              <w:rPr>
                <w:rFonts w:hint="default" w:ascii="Times New Roman" w:hAnsi="Times New Roman" w:eastAsia="仿宋" w:cs="Times New Roman"/>
                <w:color w:val="auto"/>
                <w:spacing w:val="-4"/>
                <w:highlight w:val="none"/>
              </w:rPr>
              <w:t>CH</w:t>
            </w:r>
            <w:r>
              <w:rPr>
                <w:rFonts w:hint="default" w:ascii="Times New Roman" w:hAnsi="Times New Roman" w:eastAsia="仿宋" w:cs="Times New Roman"/>
                <w:color w:val="auto"/>
                <w:spacing w:val="-4"/>
                <w:position w:val="-1"/>
                <w:sz w:val="15"/>
                <w:szCs w:val="15"/>
                <w:highlight w:val="none"/>
              </w:rPr>
              <w:t>4</w:t>
            </w:r>
            <w:r>
              <w:rPr>
                <w:rFonts w:hint="default" w:ascii="Times New Roman" w:hAnsi="Times New Roman" w:eastAsia="仿宋" w:cs="Times New Roman"/>
                <w:color w:val="auto"/>
                <w:spacing w:val="24"/>
                <w:position w:val="-1"/>
                <w:sz w:val="15"/>
                <w:szCs w:val="15"/>
                <w:highlight w:val="none"/>
              </w:rPr>
              <w:t xml:space="preserve"> </w:t>
            </w:r>
            <w:r>
              <w:rPr>
                <w:rFonts w:hint="default" w:ascii="Times New Roman" w:hAnsi="Times New Roman" w:eastAsia="仿宋" w:cs="Times New Roman"/>
                <w:color w:val="auto"/>
                <w:spacing w:val="-4"/>
                <w:highlight w:val="none"/>
              </w:rPr>
              <w:t>浓度≥0.5%、一翼回风及总回风巷</w:t>
            </w:r>
            <w:r>
              <w:rPr>
                <w:rFonts w:hint="default" w:ascii="Times New Roman" w:hAnsi="Times New Roman" w:eastAsia="仿宋" w:cs="Times New Roman"/>
                <w:color w:val="auto"/>
                <w:spacing w:val="-52"/>
                <w:highlight w:val="none"/>
              </w:rPr>
              <w:t xml:space="preserve"> </w:t>
            </w:r>
            <w:r>
              <w:rPr>
                <w:rFonts w:hint="default" w:ascii="Times New Roman" w:hAnsi="Times New Roman" w:eastAsia="仿宋" w:cs="Times New Roman"/>
                <w:color w:val="auto"/>
                <w:spacing w:val="-4"/>
                <w:highlight w:val="none"/>
              </w:rPr>
              <w:t>CH</w:t>
            </w:r>
            <w:r>
              <w:rPr>
                <w:rFonts w:hint="default" w:ascii="Times New Roman" w:hAnsi="Times New Roman" w:eastAsia="仿宋" w:cs="Times New Roman"/>
                <w:color w:val="auto"/>
                <w:spacing w:val="-4"/>
                <w:position w:val="-1"/>
                <w:sz w:val="15"/>
                <w:szCs w:val="15"/>
                <w:highlight w:val="none"/>
              </w:rPr>
              <w:t>4</w:t>
            </w:r>
            <w:r>
              <w:rPr>
                <w:rFonts w:hint="default" w:ascii="Times New Roman" w:hAnsi="Times New Roman" w:eastAsia="仿宋" w:cs="Times New Roman"/>
                <w:color w:val="auto"/>
                <w:spacing w:val="24"/>
                <w:w w:val="101"/>
                <w:position w:val="-1"/>
                <w:sz w:val="15"/>
                <w:szCs w:val="15"/>
                <w:highlight w:val="none"/>
              </w:rPr>
              <w:t xml:space="preserve"> </w:t>
            </w:r>
            <w:r>
              <w:rPr>
                <w:rFonts w:hint="default" w:ascii="Times New Roman" w:hAnsi="Times New Roman" w:eastAsia="仿宋" w:cs="Times New Roman"/>
                <w:color w:val="auto"/>
                <w:spacing w:val="-4"/>
                <w:highlight w:val="none"/>
              </w:rPr>
              <w:t>浓度≥0.75%</w:t>
            </w: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color w:val="auto"/>
                <w:spacing w:val="-10"/>
                <w:highlight w:val="none"/>
              </w:rPr>
              <w:t>为红色预警。</w:t>
            </w:r>
            <w:r>
              <w:rPr>
                <w:rFonts w:hint="default" w:ascii="Times New Roman" w:hAnsi="Times New Roman" w:eastAsia="仿宋" w:cs="Times New Roman"/>
                <w:strike w:val="0"/>
                <w:dstrike w:val="0"/>
                <w:color w:val="auto"/>
                <w:spacing w:val="-10"/>
                <w:highlight w:val="none"/>
                <w:lang w:eastAsia="zh-CN"/>
              </w:rPr>
              <w:t>地面抽采泵站</w:t>
            </w:r>
            <w:r>
              <w:rPr>
                <w:rFonts w:hint="default" w:ascii="Times New Roman" w:hAnsi="Times New Roman" w:eastAsia="仿宋" w:cs="Times New Roman"/>
                <w:strike w:val="0"/>
                <w:dstrike w:val="0"/>
                <w:color w:val="auto"/>
                <w:spacing w:val="-4"/>
                <w:highlight w:val="none"/>
              </w:rPr>
              <w:t>CH</w:t>
            </w:r>
            <w:r>
              <w:rPr>
                <w:rFonts w:hint="default" w:ascii="Times New Roman" w:hAnsi="Times New Roman" w:eastAsia="仿宋" w:cs="Times New Roman"/>
                <w:strike w:val="0"/>
                <w:dstrike w:val="0"/>
                <w:color w:val="auto"/>
                <w:spacing w:val="-4"/>
                <w:position w:val="-1"/>
                <w:sz w:val="15"/>
                <w:szCs w:val="15"/>
                <w:highlight w:val="none"/>
              </w:rPr>
              <w:t>4</w:t>
            </w:r>
            <w:r>
              <w:rPr>
                <w:rFonts w:hint="default" w:ascii="Times New Roman" w:hAnsi="Times New Roman" w:eastAsia="仿宋" w:cs="Times New Roman"/>
                <w:strike w:val="0"/>
                <w:dstrike w:val="0"/>
                <w:color w:val="auto"/>
                <w:spacing w:val="24"/>
                <w:w w:val="101"/>
                <w:position w:val="-1"/>
                <w:sz w:val="15"/>
                <w:szCs w:val="15"/>
                <w:highlight w:val="none"/>
              </w:rPr>
              <w:t xml:space="preserve"> </w:t>
            </w:r>
            <w:r>
              <w:rPr>
                <w:rFonts w:hint="default" w:ascii="Times New Roman" w:hAnsi="Times New Roman" w:eastAsia="仿宋" w:cs="Times New Roman"/>
                <w:strike w:val="0"/>
                <w:dstrike w:val="0"/>
                <w:color w:val="auto"/>
                <w:spacing w:val="-4"/>
                <w:highlight w:val="none"/>
              </w:rPr>
              <w:t>浓度≥</w:t>
            </w:r>
            <w:r>
              <w:rPr>
                <w:rFonts w:hint="default" w:ascii="Times New Roman" w:hAnsi="Times New Roman" w:eastAsia="仿宋" w:cs="Times New Roman"/>
                <w:strike w:val="0"/>
                <w:dstrike w:val="0"/>
                <w:color w:val="auto"/>
                <w:spacing w:val="-4"/>
                <w:highlight w:val="none"/>
                <w:lang w:val="en-US" w:eastAsia="zh-CN"/>
              </w:rPr>
              <w:t>1.0</w:t>
            </w:r>
            <w:r>
              <w:rPr>
                <w:rFonts w:hint="default" w:ascii="Times New Roman" w:hAnsi="Times New Roman" w:eastAsia="仿宋" w:cs="Times New Roman"/>
                <w:strike w:val="0"/>
                <w:dstrike w:val="0"/>
                <w:color w:val="auto"/>
                <w:spacing w:val="-4"/>
                <w:highlight w:val="none"/>
              </w:rPr>
              <w:t>%</w:t>
            </w:r>
            <w:r>
              <w:rPr>
                <w:rFonts w:hint="default" w:ascii="Times New Roman" w:hAnsi="Times New Roman" w:eastAsia="仿宋" w:cs="Times New Roman"/>
                <w:strike w:val="0"/>
                <w:dstrike w:val="0"/>
                <w:color w:val="auto"/>
                <w:highlight w:val="none"/>
              </w:rPr>
              <w:t xml:space="preserve"> </w:t>
            </w:r>
            <w:r>
              <w:rPr>
                <w:rFonts w:hint="default" w:ascii="Times New Roman" w:hAnsi="Times New Roman" w:eastAsia="仿宋" w:cs="Times New Roman"/>
                <w:strike w:val="0"/>
                <w:dstrike w:val="0"/>
                <w:color w:val="auto"/>
                <w:spacing w:val="-10"/>
                <w:highlight w:val="none"/>
              </w:rPr>
              <w:t>为红色预警。</w:t>
            </w:r>
          </w:p>
        </w:tc>
      </w:tr>
    </w:tbl>
    <w:p w14:paraId="4764DF5A">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rPr>
        <w:t>2.CO</w:t>
      </w:r>
    </w:p>
    <w:p w14:paraId="06F1C69C">
      <w:pPr>
        <w:keepNext w:val="0"/>
        <w:keepLines w:val="0"/>
        <w:pageBreakBefore w:val="0"/>
        <w:widowControl w:val="0"/>
        <w:kinsoku/>
        <w:wordWrap/>
        <w:overflowPunct/>
        <w:topLinePunct w:val="0"/>
        <w:autoSpaceDE w:val="0"/>
        <w:autoSpaceDN w:val="0"/>
        <w:bidi w:val="0"/>
        <w:adjustRightInd w:val="0"/>
        <w:snapToGrid w:val="0"/>
        <w:spacing w:line="25"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71"/>
        <w:gridCol w:w="1816"/>
        <w:gridCol w:w="1819"/>
        <w:gridCol w:w="2012"/>
        <w:gridCol w:w="1230"/>
      </w:tblGrid>
      <w:tr w14:paraId="63B3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14" w:type="pct"/>
            <w:vMerge w:val="restart"/>
            <w:tcBorders>
              <w:bottom w:val="nil"/>
            </w:tcBorders>
            <w:vAlign w:val="center"/>
          </w:tcPr>
          <w:p w14:paraId="2DD732D8">
            <w:pPr>
              <w:pStyle w:val="33"/>
              <w:keepNext w:val="0"/>
              <w:keepLines w:val="0"/>
              <w:pageBreakBefore w:val="0"/>
              <w:widowControl w:val="0"/>
              <w:kinsoku/>
              <w:wordWrap/>
              <w:overflowPunct/>
              <w:topLinePunct w:val="0"/>
              <w:autoSpaceDE w:val="0"/>
              <w:autoSpaceDN w:val="0"/>
              <w:bidi w:val="0"/>
              <w:adjustRightInd w:val="0"/>
              <w:snapToGrid w:val="0"/>
              <w:spacing w:line="35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position w:val="2"/>
                <w:highlight w:val="none"/>
              </w:rPr>
              <w:t>时长/T（min）</w:t>
            </w:r>
          </w:p>
        </w:tc>
        <w:tc>
          <w:tcPr>
            <w:tcW w:w="3885" w:type="pct"/>
            <w:gridSpan w:val="4"/>
            <w:vAlign w:val="center"/>
          </w:tcPr>
          <w:p w14:paraId="4328A3FB">
            <w:pPr>
              <w:pStyle w:val="33"/>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highlight w:val="none"/>
              </w:rPr>
              <w:t>CO</w:t>
            </w:r>
            <w:r>
              <w:rPr>
                <w:rFonts w:hint="default" w:ascii="Times New Roman" w:hAnsi="Times New Roman" w:eastAsia="仿宋" w:cs="Times New Roman"/>
                <w:color w:val="auto"/>
                <w:spacing w:val="23"/>
                <w:w w:val="101"/>
                <w:highlight w:val="none"/>
              </w:rPr>
              <w:t xml:space="preserve"> </w:t>
            </w:r>
            <w:r>
              <w:rPr>
                <w:rFonts w:hint="default" w:ascii="Times New Roman" w:hAnsi="Times New Roman" w:eastAsia="仿宋" w:cs="Times New Roman"/>
                <w:color w:val="auto"/>
                <w:spacing w:val="-4"/>
                <w:highlight w:val="none"/>
              </w:rPr>
              <w:t>浓度（ppm）</w:t>
            </w:r>
          </w:p>
        </w:tc>
      </w:tr>
      <w:tr w14:paraId="7B2E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Merge w:val="continue"/>
            <w:tcBorders>
              <w:top w:val="nil"/>
            </w:tcBorders>
            <w:vAlign w:val="center"/>
          </w:tcPr>
          <w:p w14:paraId="57918382">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center"/>
              <w:textAlignment w:val="baseline"/>
              <w:rPr>
                <w:rFonts w:hint="default" w:ascii="Times New Roman" w:hAnsi="Times New Roman" w:eastAsia="仿宋" w:cs="Times New Roman"/>
                <w:color w:val="auto"/>
                <w:sz w:val="21"/>
                <w:highlight w:val="none"/>
              </w:rPr>
            </w:pPr>
          </w:p>
        </w:tc>
        <w:tc>
          <w:tcPr>
            <w:tcW w:w="1026" w:type="pct"/>
            <w:vAlign w:val="center"/>
          </w:tcPr>
          <w:p w14:paraId="6FA372E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6"/>
                <w:highlight w:val="none"/>
              </w:rPr>
              <w:t>24 ≤CO＜100</w:t>
            </w:r>
          </w:p>
        </w:tc>
        <w:tc>
          <w:tcPr>
            <w:tcW w:w="1028" w:type="pct"/>
            <w:vAlign w:val="center"/>
          </w:tcPr>
          <w:p w14:paraId="13867EB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100 ≤CO＜300</w:t>
            </w:r>
          </w:p>
        </w:tc>
        <w:tc>
          <w:tcPr>
            <w:tcW w:w="1137" w:type="pct"/>
            <w:vAlign w:val="center"/>
          </w:tcPr>
          <w:p w14:paraId="4FB0230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highlight w:val="none"/>
              </w:rPr>
              <w:t>300 ≤CO＜500</w:t>
            </w:r>
          </w:p>
        </w:tc>
        <w:tc>
          <w:tcPr>
            <w:tcW w:w="693" w:type="pct"/>
            <w:vAlign w:val="top"/>
          </w:tcPr>
          <w:p w14:paraId="79746C9A">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0"/>
                <w:highlight w:val="none"/>
              </w:rPr>
              <w:t>CO ≥500</w:t>
            </w:r>
          </w:p>
        </w:tc>
      </w:tr>
      <w:tr w14:paraId="20974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11B64657">
            <w:pPr>
              <w:pStyle w:val="33"/>
              <w:keepNext w:val="0"/>
              <w:keepLines w:val="0"/>
              <w:pageBreakBefore w:val="0"/>
              <w:widowControl w:val="0"/>
              <w:kinsoku/>
              <w:wordWrap/>
              <w:overflowPunct/>
              <w:topLinePunct w:val="0"/>
              <w:autoSpaceDE w:val="0"/>
              <w:autoSpaceDN w:val="0"/>
              <w:bidi w:val="0"/>
              <w:adjustRightInd w:val="0"/>
              <w:snapToGrid w:val="0"/>
              <w:spacing w:line="242"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T＜20</w:t>
            </w:r>
          </w:p>
        </w:tc>
        <w:tc>
          <w:tcPr>
            <w:tcW w:w="1026" w:type="pct"/>
            <w:vAlign w:val="center"/>
          </w:tcPr>
          <w:p w14:paraId="04704FEB">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28" w:type="pct"/>
            <w:vAlign w:val="center"/>
          </w:tcPr>
          <w:p w14:paraId="1E5ADED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137" w:type="pct"/>
            <w:vAlign w:val="center"/>
          </w:tcPr>
          <w:p w14:paraId="3EB17AD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restart"/>
            <w:tcBorders>
              <w:bottom w:val="nil"/>
            </w:tcBorders>
            <w:vAlign w:val="center"/>
          </w:tcPr>
          <w:p w14:paraId="7650A89D">
            <w:pPr>
              <w:keepNext w:val="0"/>
              <w:keepLines w:val="0"/>
              <w:pageBreakBefore w:val="0"/>
              <w:widowControl w:val="0"/>
              <w:kinsoku/>
              <w:wordWrap/>
              <w:overflowPunct/>
              <w:topLinePunct w:val="0"/>
              <w:autoSpaceDE w:val="0"/>
              <w:autoSpaceDN w:val="0"/>
              <w:bidi w:val="0"/>
              <w:adjustRightInd w:val="0"/>
              <w:snapToGrid w:val="0"/>
              <w:spacing w:line="229"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519D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58484B9">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026" w:type="pct"/>
            <w:vAlign w:val="center"/>
          </w:tcPr>
          <w:p w14:paraId="77A551C5">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28" w:type="pct"/>
            <w:vAlign w:val="center"/>
          </w:tcPr>
          <w:p w14:paraId="5008B015">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137" w:type="pct"/>
            <w:vAlign w:val="center"/>
          </w:tcPr>
          <w:p w14:paraId="187F84DD">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bottom w:val="nil"/>
            </w:tcBorders>
            <w:vAlign w:val="top"/>
          </w:tcPr>
          <w:p w14:paraId="02814A2E">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both"/>
              <w:textAlignment w:val="baseline"/>
              <w:rPr>
                <w:rFonts w:hint="default" w:ascii="Times New Roman" w:hAnsi="Times New Roman" w:eastAsia="仿宋" w:cs="Times New Roman"/>
                <w:color w:val="auto"/>
                <w:sz w:val="21"/>
                <w:highlight w:val="none"/>
              </w:rPr>
            </w:pPr>
          </w:p>
        </w:tc>
      </w:tr>
      <w:tr w14:paraId="6A99F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6345059">
            <w:pPr>
              <w:pStyle w:val="33"/>
              <w:keepNext w:val="0"/>
              <w:keepLines w:val="0"/>
              <w:pageBreakBefore w:val="0"/>
              <w:widowControl w:val="0"/>
              <w:kinsoku/>
              <w:wordWrap/>
              <w:overflowPunct/>
              <w:topLinePunct w:val="0"/>
              <w:autoSpaceDE w:val="0"/>
              <w:autoSpaceDN w:val="0"/>
              <w:bidi w:val="0"/>
              <w:adjustRightInd w:val="0"/>
              <w:snapToGrid w:val="0"/>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T≥30</w:t>
            </w:r>
          </w:p>
        </w:tc>
        <w:tc>
          <w:tcPr>
            <w:tcW w:w="1026" w:type="pct"/>
            <w:vAlign w:val="center"/>
          </w:tcPr>
          <w:p w14:paraId="3F937F2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028" w:type="pct"/>
            <w:vAlign w:val="center"/>
          </w:tcPr>
          <w:p w14:paraId="063B67E4">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137" w:type="pct"/>
            <w:vAlign w:val="center"/>
          </w:tcPr>
          <w:p w14:paraId="6A9949D0">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tcBorders>
            <w:vAlign w:val="top"/>
          </w:tcPr>
          <w:p w14:paraId="72420EC0">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both"/>
              <w:textAlignment w:val="baseline"/>
              <w:rPr>
                <w:rFonts w:hint="default" w:ascii="Times New Roman" w:hAnsi="Times New Roman" w:eastAsia="仿宋" w:cs="Times New Roman"/>
                <w:color w:val="auto"/>
                <w:sz w:val="21"/>
                <w:highlight w:val="none"/>
              </w:rPr>
            </w:pPr>
          </w:p>
        </w:tc>
      </w:tr>
      <w:tr w14:paraId="1E85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000" w:type="pct"/>
            <w:gridSpan w:val="5"/>
            <w:vAlign w:val="top"/>
          </w:tcPr>
          <w:p w14:paraId="23FF1960">
            <w:pPr>
              <w:pStyle w:val="33"/>
              <w:keepNext w:val="0"/>
              <w:keepLines w:val="0"/>
              <w:pageBreakBefore w:val="0"/>
              <w:widowControl w:val="0"/>
              <w:kinsoku/>
              <w:wordWrap/>
              <w:overflowPunct/>
              <w:topLinePunct w:val="0"/>
              <w:autoSpaceDE w:val="0"/>
              <w:autoSpaceDN w:val="0"/>
              <w:bidi w:val="0"/>
              <w:adjustRightInd w:val="0"/>
              <w:snapToGrid w:val="0"/>
              <w:spacing w:line="275"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注：T＜20</w:t>
            </w:r>
            <w:r>
              <w:rPr>
                <w:rFonts w:hint="default" w:ascii="Times New Roman" w:hAnsi="Times New Roman" w:eastAsia="仿宋" w:cs="Times New Roman"/>
                <w:color w:val="auto"/>
                <w:spacing w:val="-1"/>
                <w:highlight w:val="none"/>
                <w:lang w:eastAsia="zh-CN"/>
              </w:rPr>
              <w:t>，</w:t>
            </w:r>
            <w:r>
              <w:rPr>
                <w:rFonts w:hint="default" w:ascii="Times New Roman" w:hAnsi="Times New Roman" w:eastAsia="仿宋" w:cs="Times New Roman"/>
                <w:color w:val="auto"/>
                <w:spacing w:val="-1"/>
                <w:highlight w:val="none"/>
              </w:rPr>
              <w:t>带式输送机滚筒下风侧</w:t>
            </w:r>
            <w:r>
              <w:rPr>
                <w:rFonts w:hint="default" w:ascii="Times New Roman" w:hAnsi="Times New Roman" w:eastAsia="仿宋" w:cs="Times New Roman"/>
                <w:color w:val="auto"/>
                <w:spacing w:val="-49"/>
                <w:highlight w:val="none"/>
              </w:rPr>
              <w:t xml:space="preserve"> </w:t>
            </w:r>
            <w:r>
              <w:rPr>
                <w:rFonts w:hint="default" w:ascii="Times New Roman" w:hAnsi="Times New Roman" w:eastAsia="仿宋" w:cs="Times New Roman"/>
                <w:color w:val="auto"/>
                <w:spacing w:val="-1"/>
                <w:highlight w:val="none"/>
              </w:rPr>
              <w:t>CO</w:t>
            </w:r>
            <w:r>
              <w:rPr>
                <w:rFonts w:hint="default" w:ascii="Times New Roman" w:hAnsi="Times New Roman" w:eastAsia="仿宋" w:cs="Times New Roman"/>
                <w:color w:val="auto"/>
                <w:spacing w:val="24"/>
                <w:highlight w:val="none"/>
              </w:rPr>
              <w:t xml:space="preserve"> </w:t>
            </w:r>
            <w:r>
              <w:rPr>
                <w:rFonts w:hint="default" w:ascii="Times New Roman" w:hAnsi="Times New Roman" w:eastAsia="仿宋" w:cs="Times New Roman"/>
                <w:color w:val="auto"/>
                <w:spacing w:val="-1"/>
                <w:highlight w:val="none"/>
              </w:rPr>
              <w:t>浓度≥</w:t>
            </w:r>
            <w:r>
              <w:rPr>
                <w:rFonts w:hint="default" w:ascii="Times New Roman" w:hAnsi="Times New Roman" w:eastAsia="仿宋" w:cs="Times New Roman"/>
                <w:color w:val="auto"/>
                <w:spacing w:val="-90"/>
                <w:highlight w:val="none"/>
              </w:rPr>
              <w:t xml:space="preserve"> </w:t>
            </w:r>
            <w:r>
              <w:rPr>
                <w:rFonts w:hint="default" w:ascii="Times New Roman" w:hAnsi="Times New Roman" w:eastAsia="仿宋" w:cs="Times New Roman"/>
                <w:color w:val="auto"/>
                <w:spacing w:val="-1"/>
                <w:highlight w:val="none"/>
              </w:rPr>
              <w:t>10ppm</w:t>
            </w:r>
            <w:r>
              <w:rPr>
                <w:rFonts w:hint="default" w:ascii="Times New Roman" w:hAnsi="Times New Roman" w:eastAsia="仿宋" w:cs="Times New Roman"/>
                <w:color w:val="auto"/>
                <w:spacing w:val="20"/>
                <w:highlight w:val="none"/>
              </w:rPr>
              <w:t xml:space="preserve"> </w:t>
            </w:r>
            <w:r>
              <w:rPr>
                <w:rFonts w:hint="default" w:ascii="Times New Roman" w:hAnsi="Times New Roman" w:eastAsia="仿宋" w:cs="Times New Roman"/>
                <w:color w:val="auto"/>
                <w:spacing w:val="-1"/>
                <w:highlight w:val="none"/>
              </w:rPr>
              <w:t>为橙色，CO</w:t>
            </w:r>
            <w:r>
              <w:rPr>
                <w:rFonts w:hint="default" w:ascii="Times New Roman" w:hAnsi="Times New Roman" w:eastAsia="仿宋" w:cs="Times New Roman"/>
                <w:color w:val="auto"/>
                <w:spacing w:val="24"/>
                <w:highlight w:val="none"/>
              </w:rPr>
              <w:t xml:space="preserve"> </w:t>
            </w:r>
            <w:r>
              <w:rPr>
                <w:rFonts w:hint="default" w:ascii="Times New Roman" w:hAnsi="Times New Roman" w:eastAsia="仿宋" w:cs="Times New Roman"/>
                <w:color w:val="auto"/>
                <w:spacing w:val="-1"/>
                <w:highlight w:val="none"/>
              </w:rPr>
              <w:t>浓度≥24p</w:t>
            </w:r>
            <w:r>
              <w:rPr>
                <w:rFonts w:hint="default" w:ascii="Times New Roman" w:hAnsi="Times New Roman" w:eastAsia="仿宋" w:cs="Times New Roman"/>
                <w:color w:val="auto"/>
                <w:spacing w:val="-2"/>
                <w:highlight w:val="none"/>
              </w:rPr>
              <w:t>pm</w:t>
            </w: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color w:val="auto"/>
                <w:spacing w:val="-13"/>
                <w:highlight w:val="none"/>
              </w:rPr>
              <w:t>为红色。</w:t>
            </w:r>
          </w:p>
        </w:tc>
      </w:tr>
    </w:tbl>
    <w:p w14:paraId="612C5D3B">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p w14:paraId="11432DD6">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3</w:t>
      </w:r>
      <w:r>
        <w:rPr>
          <w:rFonts w:hint="default" w:ascii="Times New Roman" w:hAnsi="Times New Roman" w:eastAsia="Times New Roman" w:cs="Times New Roman"/>
          <w:color w:val="auto"/>
          <w:spacing w:val="-2"/>
          <w:position w:val="1"/>
          <w:sz w:val="28"/>
          <w:szCs w:val="28"/>
          <w:highlight w:val="none"/>
        </w:rPr>
        <w:t>.主通风机</w:t>
      </w:r>
    </w:p>
    <w:p w14:paraId="0B16101D">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2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81"/>
        <w:gridCol w:w="4506"/>
      </w:tblGrid>
      <w:tr w14:paraId="1728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2"/>
            <w:vAlign w:val="center"/>
          </w:tcPr>
          <w:p w14:paraId="26E7B3D4">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主通风机主备机全停时长/T（min）</w:t>
            </w:r>
          </w:p>
        </w:tc>
      </w:tr>
      <w:tr w14:paraId="33648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65" w:type="pct"/>
            <w:vAlign w:val="center"/>
          </w:tcPr>
          <w:p w14:paraId="456D8158">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spacing w:val="-5"/>
                <w:highlight w:val="none"/>
                <w:lang w:val="en-US" w:eastAsia="zh-CN"/>
              </w:rPr>
            </w:pPr>
            <w:r>
              <w:rPr>
                <w:rFonts w:hint="default" w:ascii="Times New Roman" w:hAnsi="Times New Roman" w:eastAsia="仿宋" w:cs="Times New Roman"/>
                <w:color w:val="auto"/>
                <w:spacing w:val="-5"/>
                <w:highlight w:val="none"/>
              </w:rPr>
              <w:t>1</w:t>
            </w:r>
            <w:r>
              <w:rPr>
                <w:rFonts w:hint="default" w:ascii="Times New Roman" w:hAnsi="Times New Roman" w:eastAsia="仿宋" w:cs="Times New Roman"/>
                <w:color w:val="auto"/>
                <w:spacing w:val="-5"/>
                <w:highlight w:val="none"/>
                <w:lang w:val="en-US" w:eastAsia="zh-CN"/>
              </w:rPr>
              <w:t>0＜T＜20</w:t>
            </w:r>
          </w:p>
        </w:tc>
        <w:tc>
          <w:tcPr>
            <w:tcW w:w="2534" w:type="pct"/>
            <w:vAlign w:val="center"/>
          </w:tcPr>
          <w:p w14:paraId="3D83E7F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snapToGrid w:val="0"/>
                <w:color w:val="auto"/>
                <w:kern w:val="0"/>
                <w:sz w:val="24"/>
                <w:szCs w:val="24"/>
                <w:highlight w:val="none"/>
                <w:lang w:val="en-US" w:eastAsia="en-US" w:bidi="ar-SA"/>
              </w:rPr>
            </w:pPr>
            <w:r>
              <w:rPr>
                <w:rFonts w:hint="default" w:ascii="Times New Roman" w:hAnsi="Times New Roman" w:eastAsia="仿宋" w:cs="Times New Roman"/>
                <w:color w:val="auto"/>
                <w:spacing w:val="-2"/>
                <w:highlight w:val="none"/>
              </w:rPr>
              <w:t>T≥20</w:t>
            </w:r>
          </w:p>
        </w:tc>
      </w:tr>
      <w:tr w14:paraId="489D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465" w:type="pct"/>
            <w:vAlign w:val="center"/>
          </w:tcPr>
          <w:p w14:paraId="7EACAC7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橙</w:t>
            </w:r>
          </w:p>
        </w:tc>
        <w:tc>
          <w:tcPr>
            <w:tcW w:w="2534" w:type="pct"/>
            <w:vAlign w:val="center"/>
          </w:tcPr>
          <w:p w14:paraId="308E1560">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snapToGrid w:val="0"/>
                <w:color w:val="auto"/>
                <w:kern w:val="0"/>
                <w:sz w:val="24"/>
                <w:szCs w:val="24"/>
                <w:highlight w:val="none"/>
                <w:lang w:val="en-US" w:eastAsia="en-US" w:bidi="ar-SA"/>
              </w:rPr>
            </w:pPr>
            <w:r>
              <w:rPr>
                <w:rFonts w:hint="eastAsia" w:ascii="Times New Roman" w:hAnsi="Times New Roman" w:eastAsia="仿宋" w:cs="Times New Roman"/>
                <w:color w:val="auto"/>
                <w:sz w:val="24"/>
                <w:szCs w:val="24"/>
                <w:highlight w:val="none"/>
                <w:lang w:eastAsia="zh-CN"/>
              </w:rPr>
              <w:t>红</w:t>
            </w:r>
          </w:p>
        </w:tc>
      </w:tr>
    </w:tbl>
    <w:p w14:paraId="3D3068A8">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4</w:t>
      </w:r>
      <w:r>
        <w:rPr>
          <w:rFonts w:hint="default" w:ascii="Times New Roman" w:hAnsi="Times New Roman" w:eastAsia="Times New Roman" w:cs="Times New Roman"/>
          <w:color w:val="auto"/>
          <w:spacing w:val="-2"/>
          <w:position w:val="1"/>
          <w:sz w:val="28"/>
          <w:szCs w:val="28"/>
          <w:highlight w:val="none"/>
        </w:rPr>
        <w:t>.风筒</w:t>
      </w:r>
    </w:p>
    <w:p w14:paraId="16747354">
      <w:pPr>
        <w:keepNext w:val="0"/>
        <w:keepLines w:val="0"/>
        <w:pageBreakBefore w:val="0"/>
        <w:widowControl w:val="0"/>
        <w:kinsoku/>
        <w:wordWrap/>
        <w:overflowPunct/>
        <w:topLinePunct w:val="0"/>
        <w:autoSpaceDE w:val="0"/>
        <w:autoSpaceDN w:val="0"/>
        <w:bidi w:val="0"/>
        <w:adjustRightInd w:val="0"/>
        <w:snapToGrid w:val="0"/>
        <w:spacing w:line="25"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08"/>
        <w:gridCol w:w="3099"/>
        <w:gridCol w:w="2443"/>
      </w:tblGrid>
      <w:tr w14:paraId="256D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3"/>
            <w:vAlign w:val="top"/>
          </w:tcPr>
          <w:p w14:paraId="0F3A30EA">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风筒无风</w:t>
            </w:r>
            <w:r>
              <w:rPr>
                <w:rFonts w:hint="default" w:ascii="Times New Roman" w:hAnsi="Times New Roman" w:eastAsia="仿宋" w:cs="Times New Roman"/>
                <w:color w:val="auto"/>
                <w:spacing w:val="-9"/>
                <w:highlight w:val="none"/>
              </w:rPr>
              <w:t>≤</w:t>
            </w:r>
            <w:r>
              <w:rPr>
                <w:rFonts w:hint="default" w:ascii="Times New Roman" w:hAnsi="Times New Roman" w:eastAsia="仿宋" w:cs="Times New Roman"/>
                <w:color w:val="auto"/>
                <w:spacing w:val="-1"/>
                <w:highlight w:val="none"/>
              </w:rPr>
              <w:t>状态时长/T（min）</w:t>
            </w:r>
          </w:p>
        </w:tc>
      </w:tr>
      <w:tr w14:paraId="41F7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869" w:type="pct"/>
            <w:vAlign w:val="center"/>
          </w:tcPr>
          <w:p w14:paraId="3949A4A6">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751" w:type="pct"/>
            <w:vAlign w:val="center"/>
          </w:tcPr>
          <w:p w14:paraId="06D2D3B9">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9"/>
                <w:highlight w:val="none"/>
              </w:rPr>
              <w:t>30 ≤T＜60</w:t>
            </w:r>
          </w:p>
        </w:tc>
        <w:tc>
          <w:tcPr>
            <w:tcW w:w="1378" w:type="pct"/>
            <w:vAlign w:val="center"/>
          </w:tcPr>
          <w:p w14:paraId="300B1C47">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T≥60</w:t>
            </w:r>
          </w:p>
        </w:tc>
      </w:tr>
      <w:tr w14:paraId="5FCC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869" w:type="pct"/>
            <w:vAlign w:val="center"/>
          </w:tcPr>
          <w:p w14:paraId="02AE9EFF">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751" w:type="pct"/>
            <w:vAlign w:val="center"/>
          </w:tcPr>
          <w:p w14:paraId="44F93A9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378" w:type="pct"/>
            <w:vAlign w:val="center"/>
          </w:tcPr>
          <w:p w14:paraId="23D0CF46">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r>
    </w:tbl>
    <w:p w14:paraId="4AD08D60">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5</w:t>
      </w:r>
      <w:r>
        <w:rPr>
          <w:rFonts w:hint="default" w:ascii="Times New Roman" w:hAnsi="Times New Roman" w:eastAsia="Times New Roman" w:cs="Times New Roman"/>
          <w:color w:val="auto"/>
          <w:spacing w:val="-2"/>
          <w:position w:val="1"/>
          <w:sz w:val="28"/>
          <w:szCs w:val="28"/>
          <w:highlight w:val="none"/>
        </w:rPr>
        <w:t>.烟雾</w:t>
      </w:r>
    </w:p>
    <w:p w14:paraId="1206382C">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2"/>
        <w:gridCol w:w="2209"/>
        <w:gridCol w:w="2209"/>
        <w:gridCol w:w="2220"/>
      </w:tblGrid>
      <w:tr w14:paraId="3DFA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4"/>
            <w:vAlign w:val="top"/>
          </w:tcPr>
          <w:p w14:paraId="045D39B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烟雾传感器有烟状态时长/T（min）</w:t>
            </w:r>
          </w:p>
        </w:tc>
      </w:tr>
      <w:tr w14:paraId="2C983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50" w:type="pct"/>
            <w:vAlign w:val="top"/>
          </w:tcPr>
          <w:p w14:paraId="2BCCFCF0">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highlight w:val="none"/>
              </w:rPr>
              <w:t>10 ≤T＜20</w:t>
            </w:r>
          </w:p>
        </w:tc>
        <w:tc>
          <w:tcPr>
            <w:tcW w:w="1248" w:type="pct"/>
            <w:vAlign w:val="top"/>
          </w:tcPr>
          <w:p w14:paraId="4E184AE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248" w:type="pct"/>
            <w:vAlign w:val="top"/>
          </w:tcPr>
          <w:p w14:paraId="4FA6DDE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9"/>
                <w:highlight w:val="none"/>
              </w:rPr>
              <w:t>30 ≤T＜60</w:t>
            </w:r>
          </w:p>
        </w:tc>
        <w:tc>
          <w:tcPr>
            <w:tcW w:w="1252" w:type="pct"/>
            <w:vAlign w:val="top"/>
          </w:tcPr>
          <w:p w14:paraId="7CE665E2">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T≥60</w:t>
            </w:r>
          </w:p>
        </w:tc>
      </w:tr>
      <w:tr w14:paraId="33698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50" w:type="pct"/>
            <w:vAlign w:val="top"/>
          </w:tcPr>
          <w:p w14:paraId="2F02B2D7">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248" w:type="pct"/>
            <w:vAlign w:val="top"/>
          </w:tcPr>
          <w:p w14:paraId="2876A539">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248" w:type="pct"/>
            <w:vAlign w:val="top"/>
          </w:tcPr>
          <w:p w14:paraId="54FCBC80">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252" w:type="pct"/>
            <w:vAlign w:val="top"/>
          </w:tcPr>
          <w:p w14:paraId="796FED6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bl>
    <w:p w14:paraId="361FAA8B">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rPr>
        <w:t>二、井下人员定位系统</w:t>
      </w:r>
    </w:p>
    <w:p w14:paraId="468ADE78">
      <w:pPr>
        <w:keepNext w:val="0"/>
        <w:keepLines w:val="0"/>
        <w:pageBreakBefore w:val="0"/>
        <w:widowControl w:val="0"/>
        <w:kinsoku/>
        <w:wordWrap/>
        <w:overflowPunct/>
        <w:topLinePunct w:val="0"/>
        <w:autoSpaceDE w:val="0"/>
        <w:autoSpaceDN w:val="0"/>
        <w:bidi w:val="0"/>
        <w:adjustRightInd w:val="0"/>
        <w:snapToGrid w:val="0"/>
        <w:spacing w:line="21"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3967"/>
        <w:gridCol w:w="1041"/>
        <w:gridCol w:w="1041"/>
        <w:gridCol w:w="1041"/>
        <w:gridCol w:w="1044"/>
      </w:tblGrid>
      <w:tr w14:paraId="1C32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03" w:type="pct"/>
            <w:vAlign w:val="center"/>
          </w:tcPr>
          <w:p w14:paraId="0B3A970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rPr>
              <w:t>序号</w:t>
            </w:r>
          </w:p>
        </w:tc>
        <w:tc>
          <w:tcPr>
            <w:tcW w:w="2241" w:type="pct"/>
            <w:vAlign w:val="center"/>
          </w:tcPr>
          <w:p w14:paraId="3BAF502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指标名称</w:t>
            </w:r>
          </w:p>
        </w:tc>
        <w:tc>
          <w:tcPr>
            <w:tcW w:w="588" w:type="pct"/>
            <w:vAlign w:val="center"/>
          </w:tcPr>
          <w:p w14:paraId="51F92E63">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588" w:type="pct"/>
            <w:vAlign w:val="center"/>
          </w:tcPr>
          <w:p w14:paraId="6CD10A3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588" w:type="pct"/>
            <w:vAlign w:val="center"/>
          </w:tcPr>
          <w:p w14:paraId="5CC1ED46">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590" w:type="pct"/>
            <w:vAlign w:val="center"/>
          </w:tcPr>
          <w:p w14:paraId="1A426FEF">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1ACC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03" w:type="pct"/>
            <w:vAlign w:val="center"/>
          </w:tcPr>
          <w:p w14:paraId="4ED7F767">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1</w:t>
            </w:r>
          </w:p>
        </w:tc>
        <w:tc>
          <w:tcPr>
            <w:tcW w:w="2241" w:type="pct"/>
            <w:vAlign w:val="center"/>
          </w:tcPr>
          <w:p w14:paraId="7E67D450">
            <w:pPr>
              <w:pStyle w:val="33"/>
              <w:keepNext w:val="0"/>
              <w:keepLines w:val="0"/>
              <w:pageBreakBefore w:val="0"/>
              <w:widowControl w:val="0"/>
              <w:kinsoku/>
              <w:wordWrap/>
              <w:overflowPunct/>
              <w:topLinePunct w:val="0"/>
              <w:autoSpaceDE w:val="0"/>
              <w:autoSpaceDN w:val="0"/>
              <w:bidi w:val="0"/>
              <w:adjustRightInd w:val="0"/>
              <w:snapToGrid w:val="0"/>
              <w:spacing w:line="260" w:lineRule="auto"/>
              <w:ind w:left="0" w:right="0" w:firstLine="0" w:firstLineChars="0"/>
              <w:jc w:val="left"/>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采掘作业地点单班作业人数超定员</w:t>
            </w:r>
            <w:r>
              <w:rPr>
                <w:rFonts w:hint="default" w:ascii="Times New Roman" w:hAnsi="Times New Roman" w:eastAsia="仿宋" w:cs="Times New Roman"/>
                <w:color w:val="auto"/>
                <w:spacing w:val="4"/>
                <w:highlight w:val="none"/>
              </w:rPr>
              <w:t xml:space="preserve"> </w:t>
            </w:r>
            <w:r>
              <w:rPr>
                <w:rFonts w:hint="default" w:ascii="Times New Roman" w:hAnsi="Times New Roman" w:eastAsia="仿宋" w:cs="Times New Roman"/>
                <w:color w:val="auto"/>
                <w:spacing w:val="-3"/>
                <w:highlight w:val="none"/>
              </w:rPr>
              <w:t>比例</w:t>
            </w:r>
            <w:r>
              <w:rPr>
                <w:rFonts w:hint="default" w:ascii="Times New Roman" w:hAnsi="Times New Roman" w:eastAsia="仿宋" w:cs="Times New Roman"/>
                <w:color w:val="auto"/>
                <w:spacing w:val="-52"/>
                <w:highlight w:val="none"/>
              </w:rPr>
              <w:t xml:space="preserve"> </w:t>
            </w:r>
            <w:r>
              <w:rPr>
                <w:rFonts w:hint="default" w:ascii="Times New Roman" w:hAnsi="Times New Roman" w:eastAsia="仿宋" w:cs="Times New Roman"/>
                <w:color w:val="auto"/>
                <w:spacing w:val="-3"/>
                <w:highlight w:val="none"/>
              </w:rPr>
              <w:t>20%以上持续时长/T（min）</w:t>
            </w:r>
          </w:p>
        </w:tc>
        <w:tc>
          <w:tcPr>
            <w:tcW w:w="588" w:type="pct"/>
            <w:vAlign w:val="center"/>
          </w:tcPr>
          <w:p w14:paraId="3D48CA81">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position w:val="3"/>
                <w:highlight w:val="none"/>
              </w:rPr>
              <w:t>60 ≤T</w:t>
            </w:r>
            <w:r>
              <w:rPr>
                <w:rFonts w:hint="default" w:ascii="Times New Roman" w:hAnsi="Times New Roman" w:eastAsia="仿宋" w:cs="Times New Roman"/>
                <w:color w:val="auto"/>
                <w:spacing w:val="1"/>
                <w:position w:val="3"/>
                <w:highlight w:val="none"/>
              </w:rPr>
              <w:t xml:space="preserve"> </w:t>
            </w:r>
            <w:r>
              <w:rPr>
                <w:rFonts w:hint="default" w:ascii="Times New Roman" w:hAnsi="Times New Roman" w:eastAsia="仿宋" w:cs="Times New Roman"/>
                <w:color w:val="auto"/>
                <w:spacing w:val="-12"/>
                <w:position w:val="3"/>
                <w:highlight w:val="none"/>
              </w:rPr>
              <w:t>&lt;</w:t>
            </w:r>
          </w:p>
          <w:p w14:paraId="1584B083">
            <w:pPr>
              <w:pStyle w:val="33"/>
              <w:keepNext w:val="0"/>
              <w:keepLines w:val="0"/>
              <w:pageBreakBefore w:val="0"/>
              <w:widowControl w:val="0"/>
              <w:kinsoku/>
              <w:wordWrap/>
              <w:overflowPunct/>
              <w:topLinePunct w:val="0"/>
              <w:autoSpaceDE w:val="0"/>
              <w:autoSpaceDN w:val="0"/>
              <w:bidi w:val="0"/>
              <w:adjustRightInd w:val="0"/>
              <w:snapToGrid w:val="0"/>
              <w:spacing w:line="313"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position w:val="1"/>
                <w:highlight w:val="none"/>
              </w:rPr>
              <w:t>120</w:t>
            </w:r>
          </w:p>
        </w:tc>
        <w:tc>
          <w:tcPr>
            <w:tcW w:w="588" w:type="pct"/>
            <w:vAlign w:val="center"/>
          </w:tcPr>
          <w:p w14:paraId="5B2324AA">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3"/>
                <w:position w:val="3"/>
                <w:highlight w:val="none"/>
              </w:rPr>
              <w:t>120 ≤T</w:t>
            </w:r>
            <w:r>
              <w:rPr>
                <w:rFonts w:hint="default" w:ascii="Times New Roman" w:hAnsi="Times New Roman" w:eastAsia="仿宋" w:cs="Times New Roman"/>
                <w:color w:val="auto"/>
                <w:spacing w:val="2"/>
                <w:position w:val="3"/>
                <w:highlight w:val="none"/>
              </w:rPr>
              <w:t xml:space="preserve"> </w:t>
            </w:r>
            <w:r>
              <w:rPr>
                <w:rFonts w:hint="default" w:ascii="Times New Roman" w:hAnsi="Times New Roman" w:eastAsia="仿宋" w:cs="Times New Roman"/>
                <w:color w:val="auto"/>
                <w:spacing w:val="-13"/>
                <w:position w:val="3"/>
                <w:highlight w:val="none"/>
              </w:rPr>
              <w:t>&lt;</w:t>
            </w:r>
          </w:p>
          <w:p w14:paraId="1834FFD7">
            <w:pPr>
              <w:pStyle w:val="33"/>
              <w:keepNext w:val="0"/>
              <w:keepLines w:val="0"/>
              <w:pageBreakBefore w:val="0"/>
              <w:widowControl w:val="0"/>
              <w:kinsoku/>
              <w:wordWrap/>
              <w:overflowPunct/>
              <w:topLinePunct w:val="0"/>
              <w:autoSpaceDE w:val="0"/>
              <w:autoSpaceDN w:val="0"/>
              <w:bidi w:val="0"/>
              <w:adjustRightInd w:val="0"/>
              <w:snapToGrid w:val="0"/>
              <w:spacing w:line="313"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position w:val="1"/>
                <w:highlight w:val="none"/>
              </w:rPr>
              <w:t>180</w:t>
            </w:r>
          </w:p>
        </w:tc>
        <w:tc>
          <w:tcPr>
            <w:tcW w:w="588" w:type="pct"/>
            <w:vAlign w:val="center"/>
          </w:tcPr>
          <w:p w14:paraId="5EECD535">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90" w:type="pct"/>
            <w:vAlign w:val="center"/>
          </w:tcPr>
          <w:p w14:paraId="414C37B3">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r>
      <w:tr w14:paraId="7361B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03" w:type="pct"/>
            <w:vAlign w:val="center"/>
          </w:tcPr>
          <w:p w14:paraId="15AFA131">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w:t>
            </w:r>
          </w:p>
        </w:tc>
        <w:tc>
          <w:tcPr>
            <w:tcW w:w="2241" w:type="pct"/>
            <w:vAlign w:val="center"/>
          </w:tcPr>
          <w:p w14:paraId="34381B34">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left"/>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rPr>
              <w:t>入井人员发出求救报警未处置时长</w:t>
            </w:r>
          </w:p>
          <w:p w14:paraId="7405E987">
            <w:pPr>
              <w:pStyle w:val="33"/>
              <w:keepNext w:val="0"/>
              <w:keepLines w:val="0"/>
              <w:pageBreakBefore w:val="0"/>
              <w:widowControl w:val="0"/>
              <w:kinsoku/>
              <w:wordWrap/>
              <w:overflowPunct/>
              <w:topLinePunct w:val="0"/>
              <w:autoSpaceDE w:val="0"/>
              <w:autoSpaceDN w:val="0"/>
              <w:bidi w:val="0"/>
              <w:adjustRightInd w:val="0"/>
              <w:snapToGrid w:val="0"/>
              <w:spacing w:line="242" w:lineRule="auto"/>
              <w:ind w:left="0" w:right="0" w:firstLine="0" w:firstLineChars="0"/>
              <w:jc w:val="left"/>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/T</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min</w:t>
            </w:r>
            <w:r>
              <w:rPr>
                <w:rFonts w:hint="default" w:ascii="Times New Roman" w:hAnsi="Times New Roman" w:eastAsia="仿宋" w:cs="Times New Roman"/>
                <w:color w:val="auto"/>
                <w:highlight w:val="none"/>
                <w:lang w:eastAsia="zh-CN"/>
              </w:rPr>
              <w:t>)</w:t>
            </w:r>
          </w:p>
        </w:tc>
        <w:tc>
          <w:tcPr>
            <w:tcW w:w="588" w:type="pct"/>
            <w:vAlign w:val="center"/>
          </w:tcPr>
          <w:p w14:paraId="7AFBC890">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88" w:type="pct"/>
            <w:vAlign w:val="center"/>
          </w:tcPr>
          <w:p w14:paraId="1499913A">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88" w:type="pct"/>
            <w:vAlign w:val="center"/>
          </w:tcPr>
          <w:p w14:paraId="2BC6FBBC">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position w:val="3"/>
                <w:highlight w:val="none"/>
              </w:rPr>
              <w:t>30 ≤T</w:t>
            </w:r>
            <w:r>
              <w:rPr>
                <w:rFonts w:hint="default" w:ascii="Times New Roman" w:hAnsi="Times New Roman" w:eastAsia="仿宋" w:cs="Times New Roman"/>
                <w:color w:val="auto"/>
                <w:spacing w:val="1"/>
                <w:position w:val="3"/>
                <w:highlight w:val="none"/>
              </w:rPr>
              <w:t xml:space="preserve"> </w:t>
            </w:r>
            <w:r>
              <w:rPr>
                <w:rFonts w:hint="default" w:ascii="Times New Roman" w:hAnsi="Times New Roman" w:eastAsia="仿宋" w:cs="Times New Roman"/>
                <w:color w:val="auto"/>
                <w:spacing w:val="-12"/>
                <w:position w:val="3"/>
                <w:highlight w:val="none"/>
              </w:rPr>
              <w:t>&lt;</w:t>
            </w:r>
          </w:p>
          <w:p w14:paraId="09963D8B">
            <w:pPr>
              <w:pStyle w:val="33"/>
              <w:keepNext w:val="0"/>
              <w:keepLines w:val="0"/>
              <w:pageBreakBefore w:val="0"/>
              <w:widowControl w:val="0"/>
              <w:kinsoku/>
              <w:wordWrap/>
              <w:overflowPunct/>
              <w:topLinePunct w:val="0"/>
              <w:autoSpaceDE w:val="0"/>
              <w:autoSpaceDN w:val="0"/>
              <w:bidi w:val="0"/>
              <w:adjustRightInd w:val="0"/>
              <w:snapToGrid w:val="0"/>
              <w:spacing w:line="314"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3"/>
                <w:position w:val="1"/>
                <w:highlight w:val="none"/>
              </w:rPr>
              <w:t>60</w:t>
            </w:r>
          </w:p>
        </w:tc>
        <w:tc>
          <w:tcPr>
            <w:tcW w:w="590" w:type="pct"/>
            <w:vAlign w:val="center"/>
          </w:tcPr>
          <w:p w14:paraId="04CC40C7">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3"/>
                <w:highlight w:val="none"/>
              </w:rPr>
              <w:t>T≥60</w:t>
            </w:r>
          </w:p>
        </w:tc>
      </w:tr>
    </w:tbl>
    <w:p w14:paraId="4090B2F7">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rPr>
        <w:t>三、水害监测系统</w:t>
      </w:r>
    </w:p>
    <w:p w14:paraId="033AC9D6">
      <w:pPr>
        <w:keepNext w:val="0"/>
        <w:keepLines w:val="0"/>
        <w:pageBreakBefore w:val="0"/>
        <w:widowControl w:val="0"/>
        <w:kinsoku/>
        <w:wordWrap/>
        <w:overflowPunct/>
        <w:topLinePunct w:val="0"/>
        <w:autoSpaceDE w:val="0"/>
        <w:autoSpaceDN w:val="0"/>
        <w:bidi w:val="0"/>
        <w:adjustRightInd w:val="0"/>
        <w:snapToGrid w:val="0"/>
        <w:spacing w:line="21"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5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9"/>
        <w:gridCol w:w="797"/>
        <w:gridCol w:w="1844"/>
        <w:gridCol w:w="1844"/>
        <w:gridCol w:w="1847"/>
        <w:gridCol w:w="1962"/>
      </w:tblGrid>
      <w:tr w14:paraId="4FFB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68" w:type="pct"/>
            <w:vAlign w:val="center"/>
          </w:tcPr>
          <w:p w14:paraId="138C2B0B">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序号</w:t>
            </w:r>
          </w:p>
        </w:tc>
        <w:tc>
          <w:tcPr>
            <w:tcW w:w="445" w:type="pct"/>
            <w:vAlign w:val="center"/>
          </w:tcPr>
          <w:p w14:paraId="744609E7">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指标</w:t>
            </w:r>
          </w:p>
          <w:p w14:paraId="5AC352F4">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名称</w:t>
            </w:r>
          </w:p>
        </w:tc>
        <w:tc>
          <w:tcPr>
            <w:tcW w:w="1029" w:type="pct"/>
            <w:vAlign w:val="center"/>
          </w:tcPr>
          <w:p w14:paraId="27C46144">
            <w:pPr>
              <w:keepNext w:val="0"/>
              <w:keepLines w:val="0"/>
              <w:pageBreakBefore w:val="0"/>
              <w:widowControl w:val="0"/>
              <w:kinsoku/>
              <w:wordWrap/>
              <w:overflowPunct/>
              <w:topLinePunct w:val="0"/>
              <w:autoSpaceDE w:val="0"/>
              <w:autoSpaceDN w:val="0"/>
              <w:bidi w:val="0"/>
              <w:adjustRightInd w:val="0"/>
              <w:snapToGrid w:val="0"/>
              <w:spacing w:line="22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29" w:type="pct"/>
            <w:vAlign w:val="center"/>
          </w:tcPr>
          <w:p w14:paraId="5F07C98B">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31" w:type="pct"/>
            <w:vAlign w:val="center"/>
          </w:tcPr>
          <w:p w14:paraId="6DB479B3">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095" w:type="pct"/>
            <w:vAlign w:val="center"/>
          </w:tcPr>
          <w:p w14:paraId="462EA722">
            <w:pPr>
              <w:keepNext w:val="0"/>
              <w:keepLines w:val="0"/>
              <w:pageBreakBefore w:val="0"/>
              <w:widowControl w:val="0"/>
              <w:kinsoku/>
              <w:wordWrap/>
              <w:overflowPunct/>
              <w:topLinePunct w:val="0"/>
              <w:autoSpaceDE w:val="0"/>
              <w:autoSpaceDN w:val="0"/>
              <w:bidi w:val="0"/>
              <w:adjustRightInd w:val="0"/>
              <w:snapToGrid w:val="0"/>
              <w:spacing w:line="229"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0BE4A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368" w:type="pct"/>
            <w:vAlign w:val="center"/>
          </w:tcPr>
          <w:p w14:paraId="216EE844">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1</w:t>
            </w:r>
          </w:p>
        </w:tc>
        <w:tc>
          <w:tcPr>
            <w:tcW w:w="445" w:type="pct"/>
            <w:vAlign w:val="center"/>
          </w:tcPr>
          <w:p w14:paraId="0FED34CD">
            <w:pPr>
              <w:keepNext w:val="0"/>
              <w:keepLines w:val="0"/>
              <w:pageBreakBefore w:val="0"/>
              <w:widowControl w:val="0"/>
              <w:kinsoku/>
              <w:wordWrap/>
              <w:overflowPunct/>
              <w:topLinePunct w:val="0"/>
              <w:autoSpaceDE w:val="0"/>
              <w:autoSpaceDN w:val="0"/>
              <w:bidi w:val="0"/>
              <w:adjustRightInd w:val="0"/>
              <w:snapToGrid w:val="0"/>
              <w:spacing w:line="308"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1"/>
                <w:sz w:val="24"/>
                <w:szCs w:val="24"/>
                <w:highlight w:val="none"/>
              </w:rPr>
              <w:t>长观孔</w:t>
            </w:r>
            <w:r>
              <w:rPr>
                <w:rFonts w:hint="default" w:ascii="Times New Roman" w:hAnsi="Times New Roman" w:eastAsia="仿宋" w:cs="Times New Roman"/>
                <w:color w:val="auto"/>
                <w:sz w:val="24"/>
                <w:szCs w:val="24"/>
                <w:highlight w:val="none"/>
              </w:rPr>
              <w:t xml:space="preserve"> </w:t>
            </w:r>
            <w:r>
              <w:rPr>
                <w:rFonts w:hint="default" w:ascii="Times New Roman" w:hAnsi="Times New Roman" w:eastAsia="仿宋" w:cs="Times New Roman"/>
                <w:color w:val="auto"/>
                <w:spacing w:val="-6"/>
                <w:sz w:val="24"/>
                <w:szCs w:val="24"/>
                <w:highlight w:val="none"/>
              </w:rPr>
              <w:t>水位</w:t>
            </w:r>
          </w:p>
        </w:tc>
        <w:tc>
          <w:tcPr>
            <w:tcW w:w="1029" w:type="pct"/>
            <w:vAlign w:val="top"/>
          </w:tcPr>
          <w:p w14:paraId="6600039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天平均水位之差的绝对值，大于近30天最大变幅的0.7 倍且水位降幅≥0.1m</w:t>
            </w:r>
          </w:p>
        </w:tc>
        <w:tc>
          <w:tcPr>
            <w:tcW w:w="1029" w:type="pct"/>
            <w:vAlign w:val="top"/>
          </w:tcPr>
          <w:p w14:paraId="7B3489F1">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天平均水位之差的绝对值，大于近30天最大变幅的0.9 倍且水位降幅≥0.2m</w:t>
            </w:r>
          </w:p>
        </w:tc>
        <w:tc>
          <w:tcPr>
            <w:tcW w:w="1031" w:type="pct"/>
            <w:vAlign w:val="top"/>
          </w:tcPr>
          <w:p w14:paraId="00F7D62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天平均水位之差的绝对值，大于近30天最大变幅的1.5 倍且水位降幅≥0.3m</w:t>
            </w:r>
          </w:p>
        </w:tc>
        <w:tc>
          <w:tcPr>
            <w:tcW w:w="1095" w:type="pct"/>
            <w:vAlign w:val="top"/>
          </w:tcPr>
          <w:p w14:paraId="4782E15A">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 天最大变幅的2 倍且水位降幅≥0.5m</w:t>
            </w:r>
          </w:p>
        </w:tc>
      </w:tr>
      <w:tr w14:paraId="3A75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680E954B">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w:t>
            </w:r>
          </w:p>
        </w:tc>
        <w:tc>
          <w:tcPr>
            <w:tcW w:w="445" w:type="pct"/>
            <w:vAlign w:val="center"/>
          </w:tcPr>
          <w:p w14:paraId="7E91AE60">
            <w:pPr>
              <w:keepNext w:val="0"/>
              <w:keepLines w:val="0"/>
              <w:pageBreakBefore w:val="0"/>
              <w:widowControl w:val="0"/>
              <w:kinsoku/>
              <w:wordWrap/>
              <w:overflowPunct/>
              <w:topLinePunct w:val="0"/>
              <w:autoSpaceDE w:val="0"/>
              <w:autoSpaceDN w:val="0"/>
              <w:bidi w:val="0"/>
              <w:adjustRightInd w:val="0"/>
              <w:snapToGrid w:val="0"/>
              <w:spacing w:line="260"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2"/>
                <w:sz w:val="24"/>
                <w:szCs w:val="24"/>
                <w:highlight w:val="none"/>
              </w:rPr>
              <w:t>矿井涌</w:t>
            </w:r>
            <w:r>
              <w:rPr>
                <w:rFonts w:hint="default" w:ascii="Times New Roman" w:hAnsi="Times New Roman" w:eastAsia="仿宋" w:cs="Times New Roman"/>
                <w:color w:val="auto"/>
                <w:spacing w:val="1"/>
                <w:sz w:val="24"/>
                <w:szCs w:val="24"/>
                <w:highlight w:val="none"/>
              </w:rPr>
              <w:t xml:space="preserve"> </w:t>
            </w:r>
            <w:r>
              <w:rPr>
                <w:rFonts w:hint="default" w:ascii="Times New Roman" w:hAnsi="Times New Roman" w:eastAsia="仿宋" w:cs="Times New Roman"/>
                <w:color w:val="auto"/>
                <w:spacing w:val="-6"/>
                <w:sz w:val="24"/>
                <w:szCs w:val="24"/>
                <w:highlight w:val="none"/>
              </w:rPr>
              <w:t>水量</w:t>
            </w:r>
          </w:p>
        </w:tc>
        <w:tc>
          <w:tcPr>
            <w:tcW w:w="1029" w:type="pct"/>
            <w:vAlign w:val="top"/>
          </w:tcPr>
          <w:p w14:paraId="100B1008">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天涌水量的平均值增加幅度≥30%</w:t>
            </w:r>
          </w:p>
        </w:tc>
        <w:tc>
          <w:tcPr>
            <w:tcW w:w="1029" w:type="pct"/>
            <w:vAlign w:val="top"/>
          </w:tcPr>
          <w:p w14:paraId="6594894F">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天涌水量的平均值增加幅度≥50%</w:t>
            </w:r>
          </w:p>
        </w:tc>
        <w:tc>
          <w:tcPr>
            <w:tcW w:w="1031" w:type="pct"/>
            <w:vAlign w:val="top"/>
          </w:tcPr>
          <w:p w14:paraId="0A957E82">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天涌水量的平均值增加幅度≥80%</w:t>
            </w:r>
          </w:p>
        </w:tc>
        <w:tc>
          <w:tcPr>
            <w:tcW w:w="1095" w:type="pct"/>
            <w:vAlign w:val="top"/>
          </w:tcPr>
          <w:p w14:paraId="30B2947C">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 比近7 天涌水量的平均值增加幅度≥100%</w:t>
            </w:r>
          </w:p>
        </w:tc>
      </w:tr>
      <w:tr w14:paraId="51A9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14BA4325">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position w:val="1"/>
                <w:highlight w:val="none"/>
              </w:rPr>
            </w:pPr>
            <w:r>
              <w:rPr>
                <w:rFonts w:hint="default" w:ascii="Times New Roman" w:hAnsi="Times New Roman" w:eastAsia="仿宋" w:cs="Times New Roman"/>
                <w:color w:val="auto"/>
                <w:position w:val="1"/>
                <w:highlight w:val="none"/>
              </w:rPr>
              <w:t>3</w:t>
            </w:r>
          </w:p>
        </w:tc>
        <w:tc>
          <w:tcPr>
            <w:tcW w:w="445" w:type="pct"/>
            <w:vAlign w:val="center"/>
          </w:tcPr>
          <w:p w14:paraId="63F87C0C">
            <w:pPr>
              <w:keepNext w:val="0"/>
              <w:keepLines w:val="0"/>
              <w:pageBreakBefore w:val="0"/>
              <w:widowControl w:val="0"/>
              <w:kinsoku/>
              <w:wordWrap/>
              <w:overflowPunct/>
              <w:topLinePunct w:val="0"/>
              <w:autoSpaceDE w:val="0"/>
              <w:autoSpaceDN w:val="0"/>
              <w:bidi w:val="0"/>
              <w:adjustRightInd w:val="0"/>
              <w:snapToGrid w:val="0"/>
              <w:spacing w:line="215"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3"/>
                <w:sz w:val="24"/>
                <w:szCs w:val="24"/>
                <w:highlight w:val="none"/>
              </w:rPr>
              <w:t>分水</w:t>
            </w:r>
            <w:r>
              <w:rPr>
                <w:rFonts w:hint="default" w:ascii="Times New Roman" w:hAnsi="Times New Roman" w:eastAsia="仿宋" w:cs="Times New Roman"/>
                <w:color w:val="auto"/>
                <w:spacing w:val="-17"/>
                <w:sz w:val="24"/>
                <w:szCs w:val="24"/>
                <w:highlight w:val="none"/>
              </w:rPr>
              <w:t>平</w:t>
            </w:r>
          </w:p>
          <w:p w14:paraId="6926C15C">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pacing w:val="-22"/>
                <w:sz w:val="24"/>
                <w:szCs w:val="24"/>
                <w:highlight w:val="none"/>
              </w:rPr>
            </w:pPr>
            <w:r>
              <w:rPr>
                <w:rFonts w:hint="default" w:ascii="Times New Roman" w:hAnsi="Times New Roman" w:eastAsia="仿宋" w:cs="Times New Roman"/>
                <w:color w:val="auto"/>
                <w:spacing w:val="-27"/>
                <w:sz w:val="24"/>
                <w:szCs w:val="24"/>
                <w:highlight w:val="none"/>
              </w:rPr>
              <w:t>涌水</w:t>
            </w:r>
            <w:r>
              <w:rPr>
                <w:rFonts w:hint="default" w:ascii="Times New Roman" w:hAnsi="Times New Roman" w:eastAsia="仿宋" w:cs="Times New Roman"/>
                <w:color w:val="auto"/>
                <w:spacing w:val="-18"/>
                <w:sz w:val="24"/>
                <w:szCs w:val="24"/>
                <w:highlight w:val="none"/>
              </w:rPr>
              <w:t>量</w:t>
            </w:r>
          </w:p>
        </w:tc>
        <w:tc>
          <w:tcPr>
            <w:tcW w:w="1029" w:type="pct"/>
            <w:vAlign w:val="top"/>
          </w:tcPr>
          <w:p w14:paraId="73BC64C2">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1"/>
                <w:sz w:val="24"/>
                <w:szCs w:val="24"/>
                <w:highlight w:val="none"/>
              </w:rPr>
              <w:t>度≥30%</w:t>
            </w:r>
          </w:p>
        </w:tc>
        <w:tc>
          <w:tcPr>
            <w:tcW w:w="1029" w:type="pct"/>
            <w:vAlign w:val="top"/>
          </w:tcPr>
          <w:p w14:paraId="3B3C5850">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度≥50%</w:t>
            </w:r>
          </w:p>
        </w:tc>
        <w:tc>
          <w:tcPr>
            <w:tcW w:w="1031" w:type="pct"/>
            <w:vAlign w:val="top"/>
          </w:tcPr>
          <w:p w14:paraId="6CC98B0C">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度≥80%</w:t>
            </w:r>
          </w:p>
        </w:tc>
        <w:tc>
          <w:tcPr>
            <w:tcW w:w="1095" w:type="pct"/>
            <w:vAlign w:val="top"/>
          </w:tcPr>
          <w:p w14:paraId="3985A99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9"/>
                <w:sz w:val="24"/>
                <w:szCs w:val="24"/>
                <w:highlight w:val="none"/>
              </w:rPr>
            </w:pPr>
            <w:r>
              <w:rPr>
                <w:rFonts w:hint="default" w:ascii="Times New Roman" w:hAnsi="Times New Roman" w:eastAsia="仿宋" w:cs="Times New Roman"/>
                <w:color w:val="auto"/>
                <w:spacing w:val="-19"/>
                <w:sz w:val="24"/>
                <w:szCs w:val="24"/>
                <w:highlight w:val="none"/>
              </w:rPr>
              <w:t>每小时涌水量相</w:t>
            </w:r>
            <w:r>
              <w:rPr>
                <w:rFonts w:hint="default" w:ascii="Times New Roman" w:hAnsi="Times New Roman" w:eastAsia="仿宋" w:cs="Times New Roman"/>
                <w:color w:val="auto"/>
                <w:spacing w:val="-14"/>
                <w:sz w:val="24"/>
                <w:szCs w:val="24"/>
                <w:highlight w:val="none"/>
              </w:rPr>
              <w:t>比近7 天涌水量</w:t>
            </w:r>
            <w:r>
              <w:rPr>
                <w:rFonts w:hint="default" w:ascii="Times New Roman" w:hAnsi="Times New Roman" w:eastAsia="仿宋" w:cs="Times New Roman"/>
                <w:color w:val="auto"/>
                <w:spacing w:val="-22"/>
                <w:sz w:val="24"/>
                <w:szCs w:val="24"/>
                <w:highlight w:val="none"/>
              </w:rPr>
              <w:t>的平均值增加幅</w:t>
            </w:r>
            <w:r>
              <w:rPr>
                <w:rFonts w:hint="default" w:ascii="Times New Roman" w:hAnsi="Times New Roman" w:eastAsia="仿宋" w:cs="Times New Roman"/>
                <w:color w:val="auto"/>
                <w:spacing w:val="-12"/>
                <w:sz w:val="24"/>
                <w:szCs w:val="24"/>
                <w:highlight w:val="none"/>
              </w:rPr>
              <w:t>度≥100%</w:t>
            </w:r>
          </w:p>
        </w:tc>
      </w:tr>
      <w:tr w14:paraId="26C2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24922C20">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position w:val="1"/>
                <w:highlight w:val="none"/>
              </w:rPr>
            </w:pPr>
            <w:r>
              <w:rPr>
                <w:rFonts w:hint="default" w:ascii="Times New Roman" w:hAnsi="Times New Roman" w:eastAsia="仿宋" w:cs="Times New Roman"/>
                <w:color w:val="auto"/>
                <w:position w:val="1"/>
                <w:highlight w:val="none"/>
              </w:rPr>
              <w:t>4</w:t>
            </w:r>
          </w:p>
        </w:tc>
        <w:tc>
          <w:tcPr>
            <w:tcW w:w="445" w:type="pct"/>
            <w:vAlign w:val="center"/>
          </w:tcPr>
          <w:p w14:paraId="4C79C6AC">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1"/>
                <w:sz w:val="24"/>
                <w:szCs w:val="24"/>
                <w:highlight w:val="none"/>
              </w:rPr>
              <w:t>分采区</w:t>
            </w:r>
          </w:p>
          <w:p w14:paraId="6737E801">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pacing w:val="-22"/>
                <w:sz w:val="24"/>
                <w:szCs w:val="24"/>
                <w:highlight w:val="none"/>
              </w:rPr>
            </w:pPr>
            <w:r>
              <w:rPr>
                <w:rFonts w:hint="default" w:ascii="Times New Roman" w:hAnsi="Times New Roman" w:eastAsia="仿宋" w:cs="Times New Roman"/>
                <w:color w:val="auto"/>
                <w:spacing w:val="-27"/>
                <w:sz w:val="24"/>
                <w:szCs w:val="24"/>
                <w:highlight w:val="none"/>
              </w:rPr>
              <w:t>涌水</w:t>
            </w:r>
            <w:r>
              <w:rPr>
                <w:rFonts w:hint="default" w:ascii="Times New Roman" w:hAnsi="Times New Roman" w:eastAsia="仿宋" w:cs="Times New Roman"/>
                <w:color w:val="auto"/>
                <w:spacing w:val="-18"/>
                <w:sz w:val="24"/>
                <w:szCs w:val="24"/>
                <w:highlight w:val="none"/>
              </w:rPr>
              <w:t>量</w:t>
            </w:r>
          </w:p>
        </w:tc>
        <w:tc>
          <w:tcPr>
            <w:tcW w:w="1029" w:type="pct"/>
            <w:vAlign w:val="top"/>
          </w:tcPr>
          <w:p w14:paraId="042545A3">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3"/>
                <w:sz w:val="24"/>
                <w:szCs w:val="24"/>
                <w:highlight w:val="none"/>
              </w:rPr>
              <w:t>每小时涌水量相比近7 天涌水量的平均值增加幅度≥30%</w:t>
            </w:r>
          </w:p>
        </w:tc>
        <w:tc>
          <w:tcPr>
            <w:tcW w:w="1029" w:type="pct"/>
            <w:vAlign w:val="top"/>
          </w:tcPr>
          <w:p w14:paraId="2678C12B">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度≥50%</w:t>
            </w:r>
          </w:p>
        </w:tc>
        <w:tc>
          <w:tcPr>
            <w:tcW w:w="1031" w:type="pct"/>
            <w:vAlign w:val="top"/>
          </w:tcPr>
          <w:p w14:paraId="36C18123">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度≥80%</w:t>
            </w:r>
          </w:p>
        </w:tc>
        <w:tc>
          <w:tcPr>
            <w:tcW w:w="1095" w:type="pct"/>
            <w:vAlign w:val="top"/>
          </w:tcPr>
          <w:p w14:paraId="72533CCA">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9"/>
                <w:sz w:val="24"/>
                <w:szCs w:val="24"/>
                <w:highlight w:val="none"/>
              </w:rPr>
            </w:pPr>
            <w:r>
              <w:rPr>
                <w:rFonts w:hint="default" w:ascii="Times New Roman" w:hAnsi="Times New Roman" w:eastAsia="仿宋" w:cs="Times New Roman"/>
                <w:color w:val="auto"/>
                <w:spacing w:val="-23"/>
                <w:sz w:val="24"/>
                <w:szCs w:val="24"/>
                <w:highlight w:val="none"/>
              </w:rPr>
              <w:t>每小时涌水量相比近7 天涌水量的平均值增加幅度≥100%</w:t>
            </w:r>
          </w:p>
        </w:tc>
      </w:tr>
    </w:tbl>
    <w:p w14:paraId="16D16EC4">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lang w:eastAsia="zh-CN"/>
        </w:rPr>
        <w:t>四</w:t>
      </w:r>
      <w:r>
        <w:rPr>
          <w:rFonts w:hint="default" w:ascii="Times New Roman" w:hAnsi="Times New Roman" w:eastAsia="黑体" w:cs="Times New Roman"/>
          <w:color w:val="auto"/>
          <w:spacing w:val="-3"/>
          <w:sz w:val="28"/>
          <w:szCs w:val="28"/>
          <w:highlight w:val="none"/>
        </w:rPr>
        <w:t>、联网数据传输</w:t>
      </w:r>
    </w:p>
    <w:p w14:paraId="35E16605">
      <w:pPr>
        <w:keepNext w:val="0"/>
        <w:keepLines w:val="0"/>
        <w:pageBreakBefore w:val="0"/>
        <w:widowControl w:val="0"/>
        <w:kinsoku/>
        <w:wordWrap/>
        <w:overflowPunct/>
        <w:topLinePunct w:val="0"/>
        <w:autoSpaceDE w:val="0"/>
        <w:autoSpaceDN w:val="0"/>
        <w:bidi w:val="0"/>
        <w:adjustRightInd w:val="0"/>
        <w:snapToGrid w:val="0"/>
        <w:spacing w:line="19"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08"/>
        <w:gridCol w:w="3099"/>
        <w:gridCol w:w="2443"/>
      </w:tblGrid>
      <w:tr w14:paraId="7BFD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5000" w:type="pct"/>
            <w:gridSpan w:val="3"/>
            <w:vAlign w:val="top"/>
          </w:tcPr>
          <w:p w14:paraId="298D9C67">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position w:val="1"/>
                <w:highlight w:val="none"/>
              </w:rPr>
              <w:t>安全监控、人员定位等各类系统联网中断时长/T（min）</w:t>
            </w:r>
          </w:p>
        </w:tc>
      </w:tr>
      <w:tr w14:paraId="23E4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869" w:type="pct"/>
            <w:vAlign w:val="center"/>
          </w:tcPr>
          <w:p w14:paraId="68A74F5D">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highlight w:val="none"/>
              </w:rPr>
              <w:t>60 ≤T＜120</w:t>
            </w:r>
          </w:p>
        </w:tc>
        <w:tc>
          <w:tcPr>
            <w:tcW w:w="1751" w:type="pct"/>
            <w:vAlign w:val="center"/>
          </w:tcPr>
          <w:p w14:paraId="555BE136">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120 ≤T＜180</w:t>
            </w:r>
          </w:p>
        </w:tc>
        <w:tc>
          <w:tcPr>
            <w:tcW w:w="1378" w:type="pct"/>
            <w:vAlign w:val="center"/>
          </w:tcPr>
          <w:p w14:paraId="25A45E2D">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T≥180</w:t>
            </w:r>
          </w:p>
        </w:tc>
      </w:tr>
      <w:tr w14:paraId="00C6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869" w:type="pct"/>
            <w:vAlign w:val="center"/>
          </w:tcPr>
          <w:p w14:paraId="37444CCA">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751" w:type="pct"/>
            <w:vAlign w:val="center"/>
          </w:tcPr>
          <w:p w14:paraId="7A74D228">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378" w:type="pct"/>
            <w:vAlign w:val="center"/>
          </w:tcPr>
          <w:p w14:paraId="686381D9">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r>
    </w:tbl>
    <w:p w14:paraId="4F38C1ED">
      <w:pPr>
        <w:keepNext w:val="0"/>
        <w:keepLines w:val="0"/>
        <w:pageBreakBefore w:val="0"/>
        <w:widowControl w:val="0"/>
        <w:kinsoku/>
        <w:wordWrap/>
        <w:overflowPunct/>
        <w:topLinePunct w:val="0"/>
        <w:autoSpaceDE w:val="0"/>
        <w:autoSpaceDN w:val="0"/>
        <w:bidi w:val="0"/>
        <w:adjustRightInd w:val="0"/>
        <w:snapToGrid w:val="0"/>
        <w:spacing w:line="353" w:lineRule="exact"/>
        <w:ind w:left="0" w:right="0" w:firstLine="0" w:firstLineChars="0"/>
        <w:jc w:val="both"/>
        <w:textAlignment w:val="baseline"/>
        <w:rPr>
          <w:rFonts w:hint="eastAsia"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pacing w:val="-3"/>
          <w:position w:val="2"/>
          <w:sz w:val="24"/>
          <w:szCs w:val="24"/>
          <w:highlight w:val="none"/>
        </w:rPr>
        <w:t>备注：1.有多个指标的，出现其中任意一种情况即报警；2.</w:t>
      </w:r>
      <w:r>
        <w:rPr>
          <w:rFonts w:hint="default" w:ascii="Times New Roman" w:hAnsi="Times New Roman" w:eastAsia="仿宋" w:cs="Times New Roman"/>
          <w:color w:val="auto"/>
          <w:spacing w:val="-3"/>
          <w:position w:val="2"/>
          <w:sz w:val="24"/>
          <w:szCs w:val="24"/>
          <w:highlight w:val="none"/>
          <w:lang w:eastAsia="zh-CN"/>
        </w:rPr>
        <w:t>应急管理厅将</w:t>
      </w:r>
      <w:r>
        <w:rPr>
          <w:rFonts w:hint="default" w:ascii="Times New Roman" w:hAnsi="Times New Roman" w:eastAsia="仿宋" w:cs="Times New Roman"/>
          <w:color w:val="auto"/>
          <w:spacing w:val="-3"/>
          <w:position w:val="2"/>
          <w:sz w:val="24"/>
          <w:szCs w:val="24"/>
          <w:highlight w:val="none"/>
        </w:rPr>
        <w:t>根据情况适时更新完善本标准</w:t>
      </w:r>
      <w:r>
        <w:rPr>
          <w:rFonts w:hint="default" w:ascii="Times New Roman" w:hAnsi="Times New Roman" w:eastAsia="仿宋" w:cs="Times New Roman"/>
          <w:color w:val="auto"/>
          <w:spacing w:val="-3"/>
          <w:position w:val="2"/>
          <w:sz w:val="24"/>
          <w:szCs w:val="24"/>
          <w:highlight w:val="none"/>
          <w:lang w:eastAsia="zh-CN"/>
        </w:rPr>
        <w:t>。</w:t>
      </w: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4478655</wp:posOffset>
                </wp:positionH>
                <wp:positionV relativeFrom="page">
                  <wp:posOffset>9462135</wp:posOffset>
                </wp:positionV>
                <wp:extent cx="1221105" cy="471170"/>
                <wp:effectExtent l="0" t="0" r="17145" b="5080"/>
                <wp:wrapNone/>
                <wp:docPr id="8" name="文本框 98"/>
                <wp:cNvGraphicFramePr/>
                <a:graphic xmlns:a="http://schemas.openxmlformats.org/drawingml/2006/main">
                  <a:graphicData uri="http://schemas.microsoft.com/office/word/2010/wordprocessingShape">
                    <wps:wsp>
                      <wps:cNvSpPr txBox="1"/>
                      <wps:spPr>
                        <a:xfrm>
                          <a:off x="0" y="0"/>
                          <a:ext cx="1221105" cy="471170"/>
                        </a:xfrm>
                        <a:prstGeom prst="rect">
                          <a:avLst/>
                        </a:prstGeom>
                        <a:solidFill>
                          <a:srgbClr val="FFFFFF"/>
                        </a:solidFill>
                        <a:ln>
                          <a:noFill/>
                        </a:ln>
                      </wps:spPr>
                      <wps:txbx>
                        <w:txbxContent>
                          <w:p w14:paraId="7B44D287"/>
                        </w:txbxContent>
                      </wps:txbx>
                      <wps:bodyPr wrap="square" upright="1"/>
                    </wps:wsp>
                  </a:graphicData>
                </a:graphic>
              </wp:anchor>
            </w:drawing>
          </mc:Choice>
          <mc:Fallback>
            <w:pict>
              <v:shape id="文本框 98" o:spid="_x0000_s1026" o:spt="202" type="#_x0000_t202" style="position:absolute;left:0pt;margin-left:352.65pt;margin-top:745.05pt;height:37.1pt;width:96.15pt;mso-position-vertical-relative:page;z-index:251659264;mso-width-relative:page;mso-height-relative:page;" fillcolor="#FFFFFF" filled="t" stroked="f" coordsize="21600,21600" o:gfxdata="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I6lBtoAAAANAQAADwAAAAAAAAABACAAAAAiAAAA&#10;ZHJzL2Rvd25yZXYueG1sUEsBAhQAFAAAAAgAh07iQBKhnJPMAQAAhgMAAA4AAAAAAAAAAQAgAAAA&#10;KQEAAGRycy9lMm9Eb2MueG1sUEsFBgAAAAAGAAYAWQEAAGcFAAAAAA==&#10;">
                <v:fill on="t" focussize="0,0"/>
                <v:stroke on="f"/>
                <v:imagedata o:title=""/>
                <o:lock v:ext="edit" aspectratio="f"/>
                <v:textbox>
                  <w:txbxContent>
                    <w:p w14:paraId="7B44D287"/>
                  </w:txbxContent>
                </v:textbox>
              </v:shape>
            </w:pict>
          </mc:Fallback>
        </mc:AlternateContent>
      </w:r>
    </w:p>
    <w:bookmarkEnd w:id="0"/>
    <w:sectPr>
      <w:footerReference r:id="rId5" w:type="default"/>
      <w:footerReference r:id="rId6" w:type="even"/>
      <w:pgSz w:w="11906" w:h="16838"/>
      <w:pgMar w:top="2098" w:right="1474" w:bottom="1984" w:left="1588" w:header="284" w:footer="1417" w:gutter="0"/>
      <w:pgBorders>
        <w:top w:val="none" w:sz="0" w:space="0"/>
        <w:left w:val="none" w:sz="0" w:space="0"/>
        <w:bottom w:val="none" w:sz="0" w:space="0"/>
        <w:right w:val="none" w:sz="0" w:space="0"/>
      </w:pgBorders>
      <w:lnNumType w:countBy="0"/>
      <w:cols w:space="720" w:num="1"/>
      <w:titlePg/>
      <w:rtlGutter w:val="0"/>
      <w:docGrid w:type="linesAndChars" w:linePitch="607" w:charSpace="-886"/>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65A">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3DC8">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jc w:val="right"/>
      <w:textAlignment w:val="auto"/>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F69E">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textAlignment w:val="auto"/>
      <w:rPr>
        <w:sz w:val="28"/>
      </w:rPr>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3"/>
  <w:drawingGridVerticalSpacing w:val="304"/>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F5"/>
    <w:rsid w:val="00002A24"/>
    <w:rsid w:val="00005C0A"/>
    <w:rsid w:val="00012A7B"/>
    <w:rsid w:val="0001668E"/>
    <w:rsid w:val="000233CB"/>
    <w:rsid w:val="0002398D"/>
    <w:rsid w:val="000319ED"/>
    <w:rsid w:val="00041508"/>
    <w:rsid w:val="00047B15"/>
    <w:rsid w:val="000652CA"/>
    <w:rsid w:val="00066E1B"/>
    <w:rsid w:val="0007522F"/>
    <w:rsid w:val="00080F1E"/>
    <w:rsid w:val="00091EFB"/>
    <w:rsid w:val="0009774C"/>
    <w:rsid w:val="000A3608"/>
    <w:rsid w:val="000B1758"/>
    <w:rsid w:val="000D145B"/>
    <w:rsid w:val="000D3FC5"/>
    <w:rsid w:val="000F01CA"/>
    <w:rsid w:val="000F0E3F"/>
    <w:rsid w:val="000F5483"/>
    <w:rsid w:val="000F5673"/>
    <w:rsid w:val="00102253"/>
    <w:rsid w:val="00103BED"/>
    <w:rsid w:val="00115259"/>
    <w:rsid w:val="001275B5"/>
    <w:rsid w:val="001501AE"/>
    <w:rsid w:val="001642E0"/>
    <w:rsid w:val="00172C1D"/>
    <w:rsid w:val="00174B68"/>
    <w:rsid w:val="00186D8F"/>
    <w:rsid w:val="00192EFF"/>
    <w:rsid w:val="0019353C"/>
    <w:rsid w:val="001941F9"/>
    <w:rsid w:val="0019540C"/>
    <w:rsid w:val="00197A79"/>
    <w:rsid w:val="001A1652"/>
    <w:rsid w:val="001A53D7"/>
    <w:rsid w:val="001B008B"/>
    <w:rsid w:val="001B262C"/>
    <w:rsid w:val="001B7418"/>
    <w:rsid w:val="001C4C6D"/>
    <w:rsid w:val="001C5987"/>
    <w:rsid w:val="001D6503"/>
    <w:rsid w:val="00203C58"/>
    <w:rsid w:val="00210AAB"/>
    <w:rsid w:val="00213DD8"/>
    <w:rsid w:val="00227B0A"/>
    <w:rsid w:val="0024269C"/>
    <w:rsid w:val="00254F66"/>
    <w:rsid w:val="002557BD"/>
    <w:rsid w:val="00255C04"/>
    <w:rsid w:val="002661CC"/>
    <w:rsid w:val="00266835"/>
    <w:rsid w:val="0027554C"/>
    <w:rsid w:val="00292448"/>
    <w:rsid w:val="0029489C"/>
    <w:rsid w:val="002B4ED4"/>
    <w:rsid w:val="002B5D4C"/>
    <w:rsid w:val="002D6676"/>
    <w:rsid w:val="002D66E8"/>
    <w:rsid w:val="002F78DE"/>
    <w:rsid w:val="0031069F"/>
    <w:rsid w:val="00311320"/>
    <w:rsid w:val="00323B0C"/>
    <w:rsid w:val="003460D2"/>
    <w:rsid w:val="003473A4"/>
    <w:rsid w:val="00355E94"/>
    <w:rsid w:val="003600F0"/>
    <w:rsid w:val="003621D1"/>
    <w:rsid w:val="003640F6"/>
    <w:rsid w:val="00380D9F"/>
    <w:rsid w:val="003856C9"/>
    <w:rsid w:val="003931B5"/>
    <w:rsid w:val="003A0483"/>
    <w:rsid w:val="003A1CD8"/>
    <w:rsid w:val="003A4822"/>
    <w:rsid w:val="003B3A4B"/>
    <w:rsid w:val="003C1902"/>
    <w:rsid w:val="003C2972"/>
    <w:rsid w:val="003D1D5C"/>
    <w:rsid w:val="003D668D"/>
    <w:rsid w:val="003F08A0"/>
    <w:rsid w:val="003F78B8"/>
    <w:rsid w:val="0040202C"/>
    <w:rsid w:val="004262AD"/>
    <w:rsid w:val="004342CF"/>
    <w:rsid w:val="004513ED"/>
    <w:rsid w:val="0045344E"/>
    <w:rsid w:val="00475214"/>
    <w:rsid w:val="00476A2C"/>
    <w:rsid w:val="004861F6"/>
    <w:rsid w:val="004866B2"/>
    <w:rsid w:val="00490984"/>
    <w:rsid w:val="00495C8E"/>
    <w:rsid w:val="00497F6D"/>
    <w:rsid w:val="004A6AB9"/>
    <w:rsid w:val="004A7BF8"/>
    <w:rsid w:val="004B2A49"/>
    <w:rsid w:val="004B39BE"/>
    <w:rsid w:val="004D5BA1"/>
    <w:rsid w:val="004E0B59"/>
    <w:rsid w:val="004E1B7B"/>
    <w:rsid w:val="004E7208"/>
    <w:rsid w:val="004F385A"/>
    <w:rsid w:val="004F5B26"/>
    <w:rsid w:val="004F6B50"/>
    <w:rsid w:val="00507716"/>
    <w:rsid w:val="00511EA4"/>
    <w:rsid w:val="00525C98"/>
    <w:rsid w:val="00527335"/>
    <w:rsid w:val="00533C26"/>
    <w:rsid w:val="00535910"/>
    <w:rsid w:val="00535B3D"/>
    <w:rsid w:val="00566655"/>
    <w:rsid w:val="00571267"/>
    <w:rsid w:val="00576088"/>
    <w:rsid w:val="005814D6"/>
    <w:rsid w:val="005B297C"/>
    <w:rsid w:val="005B6595"/>
    <w:rsid w:val="005B772B"/>
    <w:rsid w:val="005C07C0"/>
    <w:rsid w:val="005E47E7"/>
    <w:rsid w:val="005F14E5"/>
    <w:rsid w:val="00606E4B"/>
    <w:rsid w:val="00627DF6"/>
    <w:rsid w:val="00636367"/>
    <w:rsid w:val="006433F2"/>
    <w:rsid w:val="0064370E"/>
    <w:rsid w:val="00643BA9"/>
    <w:rsid w:val="006475DC"/>
    <w:rsid w:val="00654B8F"/>
    <w:rsid w:val="00656479"/>
    <w:rsid w:val="00656D41"/>
    <w:rsid w:val="0066021C"/>
    <w:rsid w:val="006766B4"/>
    <w:rsid w:val="006B574E"/>
    <w:rsid w:val="006C0403"/>
    <w:rsid w:val="006D36BC"/>
    <w:rsid w:val="007012C3"/>
    <w:rsid w:val="00733430"/>
    <w:rsid w:val="00740660"/>
    <w:rsid w:val="0074726B"/>
    <w:rsid w:val="007525FF"/>
    <w:rsid w:val="00754F0E"/>
    <w:rsid w:val="0075680A"/>
    <w:rsid w:val="0077178A"/>
    <w:rsid w:val="0078272A"/>
    <w:rsid w:val="007829C9"/>
    <w:rsid w:val="00796514"/>
    <w:rsid w:val="0079739C"/>
    <w:rsid w:val="007B3A12"/>
    <w:rsid w:val="007C0881"/>
    <w:rsid w:val="007C1798"/>
    <w:rsid w:val="007F4711"/>
    <w:rsid w:val="00805599"/>
    <w:rsid w:val="008170F5"/>
    <w:rsid w:val="00817130"/>
    <w:rsid w:val="008460F3"/>
    <w:rsid w:val="008538F8"/>
    <w:rsid w:val="00853968"/>
    <w:rsid w:val="008600A9"/>
    <w:rsid w:val="00861F14"/>
    <w:rsid w:val="00866583"/>
    <w:rsid w:val="0086686E"/>
    <w:rsid w:val="00866EB2"/>
    <w:rsid w:val="00897E8B"/>
    <w:rsid w:val="008A2FCD"/>
    <w:rsid w:val="008B7683"/>
    <w:rsid w:val="008C06D2"/>
    <w:rsid w:val="008C08FE"/>
    <w:rsid w:val="008E160B"/>
    <w:rsid w:val="008E6FDB"/>
    <w:rsid w:val="008F225A"/>
    <w:rsid w:val="00905AB7"/>
    <w:rsid w:val="009144C0"/>
    <w:rsid w:val="00917447"/>
    <w:rsid w:val="009300B0"/>
    <w:rsid w:val="009344E2"/>
    <w:rsid w:val="0096017F"/>
    <w:rsid w:val="00961339"/>
    <w:rsid w:val="009728C1"/>
    <w:rsid w:val="009773ED"/>
    <w:rsid w:val="00996233"/>
    <w:rsid w:val="009C2ECE"/>
    <w:rsid w:val="009C7A61"/>
    <w:rsid w:val="009E0B8B"/>
    <w:rsid w:val="009E51E9"/>
    <w:rsid w:val="009F5DA0"/>
    <w:rsid w:val="009F6406"/>
    <w:rsid w:val="00A05A07"/>
    <w:rsid w:val="00A1299D"/>
    <w:rsid w:val="00A130F4"/>
    <w:rsid w:val="00A14F63"/>
    <w:rsid w:val="00A17FDD"/>
    <w:rsid w:val="00A27D2E"/>
    <w:rsid w:val="00A316FB"/>
    <w:rsid w:val="00A519B7"/>
    <w:rsid w:val="00A520FE"/>
    <w:rsid w:val="00A52C33"/>
    <w:rsid w:val="00A55228"/>
    <w:rsid w:val="00A64823"/>
    <w:rsid w:val="00A86325"/>
    <w:rsid w:val="00A93401"/>
    <w:rsid w:val="00AA4393"/>
    <w:rsid w:val="00AB05C5"/>
    <w:rsid w:val="00AC0AAA"/>
    <w:rsid w:val="00AC30E1"/>
    <w:rsid w:val="00AC5B53"/>
    <w:rsid w:val="00AC7717"/>
    <w:rsid w:val="00AF2F55"/>
    <w:rsid w:val="00B04096"/>
    <w:rsid w:val="00B118C5"/>
    <w:rsid w:val="00B7447D"/>
    <w:rsid w:val="00B84F4F"/>
    <w:rsid w:val="00B85D9D"/>
    <w:rsid w:val="00B92059"/>
    <w:rsid w:val="00B97DEE"/>
    <w:rsid w:val="00BB6880"/>
    <w:rsid w:val="00BC70C2"/>
    <w:rsid w:val="00BD0FDF"/>
    <w:rsid w:val="00BD7D6A"/>
    <w:rsid w:val="00BE261C"/>
    <w:rsid w:val="00BF3E79"/>
    <w:rsid w:val="00BF45E4"/>
    <w:rsid w:val="00BF6F9B"/>
    <w:rsid w:val="00C033F9"/>
    <w:rsid w:val="00C03F9D"/>
    <w:rsid w:val="00C11C8A"/>
    <w:rsid w:val="00C12007"/>
    <w:rsid w:val="00C150F4"/>
    <w:rsid w:val="00C33030"/>
    <w:rsid w:val="00C80695"/>
    <w:rsid w:val="00C84568"/>
    <w:rsid w:val="00C949DC"/>
    <w:rsid w:val="00CA1CDC"/>
    <w:rsid w:val="00CB0872"/>
    <w:rsid w:val="00CB6959"/>
    <w:rsid w:val="00CB7118"/>
    <w:rsid w:val="00CC642A"/>
    <w:rsid w:val="00CD08F1"/>
    <w:rsid w:val="00CF37C1"/>
    <w:rsid w:val="00D0229C"/>
    <w:rsid w:val="00D04DA6"/>
    <w:rsid w:val="00D15C41"/>
    <w:rsid w:val="00D16169"/>
    <w:rsid w:val="00D31BBE"/>
    <w:rsid w:val="00D33BF2"/>
    <w:rsid w:val="00D43F8B"/>
    <w:rsid w:val="00D55710"/>
    <w:rsid w:val="00D65C31"/>
    <w:rsid w:val="00D84E8F"/>
    <w:rsid w:val="00D85CE8"/>
    <w:rsid w:val="00D9558E"/>
    <w:rsid w:val="00D97DBF"/>
    <w:rsid w:val="00DB1453"/>
    <w:rsid w:val="00DB15B0"/>
    <w:rsid w:val="00DD6E46"/>
    <w:rsid w:val="00DE2372"/>
    <w:rsid w:val="00DE6977"/>
    <w:rsid w:val="00DF021D"/>
    <w:rsid w:val="00DF0D37"/>
    <w:rsid w:val="00E02470"/>
    <w:rsid w:val="00E45EE3"/>
    <w:rsid w:val="00E66468"/>
    <w:rsid w:val="00E7155B"/>
    <w:rsid w:val="00E726AA"/>
    <w:rsid w:val="00E747FE"/>
    <w:rsid w:val="00E85EC1"/>
    <w:rsid w:val="00EA15CD"/>
    <w:rsid w:val="00EC521E"/>
    <w:rsid w:val="00ED3EFD"/>
    <w:rsid w:val="00EE6110"/>
    <w:rsid w:val="00EF0591"/>
    <w:rsid w:val="00EF3C2C"/>
    <w:rsid w:val="00EF6512"/>
    <w:rsid w:val="00F3430C"/>
    <w:rsid w:val="00F35B73"/>
    <w:rsid w:val="00F521E4"/>
    <w:rsid w:val="00F71746"/>
    <w:rsid w:val="00F7662E"/>
    <w:rsid w:val="00F81E51"/>
    <w:rsid w:val="00F84BAF"/>
    <w:rsid w:val="00F96C9F"/>
    <w:rsid w:val="00FA6C2E"/>
    <w:rsid w:val="00FC3B36"/>
    <w:rsid w:val="00FD2D5F"/>
    <w:rsid w:val="00FE0FEE"/>
    <w:rsid w:val="073D418D"/>
    <w:rsid w:val="087CDA28"/>
    <w:rsid w:val="08AD01C0"/>
    <w:rsid w:val="0F3B45AE"/>
    <w:rsid w:val="0F3F763C"/>
    <w:rsid w:val="0F75FDB0"/>
    <w:rsid w:val="0FAF2DFC"/>
    <w:rsid w:val="12712258"/>
    <w:rsid w:val="13BA87F7"/>
    <w:rsid w:val="14506500"/>
    <w:rsid w:val="153C0833"/>
    <w:rsid w:val="159FD76D"/>
    <w:rsid w:val="162778C1"/>
    <w:rsid w:val="17F6A019"/>
    <w:rsid w:val="17FDC182"/>
    <w:rsid w:val="1ABEDDAE"/>
    <w:rsid w:val="1B7F47FD"/>
    <w:rsid w:val="1DEF153F"/>
    <w:rsid w:val="1DFF9294"/>
    <w:rsid w:val="1E58492F"/>
    <w:rsid w:val="1F5F6B18"/>
    <w:rsid w:val="1F77ACF6"/>
    <w:rsid w:val="1FEFA712"/>
    <w:rsid w:val="1FFAC4EE"/>
    <w:rsid w:val="1FFE59EC"/>
    <w:rsid w:val="1FFEC478"/>
    <w:rsid w:val="25B78980"/>
    <w:rsid w:val="27BDFE10"/>
    <w:rsid w:val="2913B432"/>
    <w:rsid w:val="2AFF879A"/>
    <w:rsid w:val="2B5F1304"/>
    <w:rsid w:val="2BDE5B6A"/>
    <w:rsid w:val="2DCF3F72"/>
    <w:rsid w:val="2DEEE41B"/>
    <w:rsid w:val="2E3D8296"/>
    <w:rsid w:val="2F6D71CD"/>
    <w:rsid w:val="2F772F28"/>
    <w:rsid w:val="2F7FD508"/>
    <w:rsid w:val="2F9E3783"/>
    <w:rsid w:val="2FBFC867"/>
    <w:rsid w:val="2FCB5ACD"/>
    <w:rsid w:val="2FEE0950"/>
    <w:rsid w:val="2FEF2181"/>
    <w:rsid w:val="2FF9E490"/>
    <w:rsid w:val="2FFFFFEA"/>
    <w:rsid w:val="334F3F47"/>
    <w:rsid w:val="353DA6A1"/>
    <w:rsid w:val="363FAB06"/>
    <w:rsid w:val="36FF229B"/>
    <w:rsid w:val="3765EE94"/>
    <w:rsid w:val="379BEBA5"/>
    <w:rsid w:val="37AF1E4C"/>
    <w:rsid w:val="37DF0292"/>
    <w:rsid w:val="37FFF4FD"/>
    <w:rsid w:val="3997B6C0"/>
    <w:rsid w:val="3997F8B4"/>
    <w:rsid w:val="3B33CE5C"/>
    <w:rsid w:val="3BABD09D"/>
    <w:rsid w:val="3BB95C3D"/>
    <w:rsid w:val="3BBBF4B5"/>
    <w:rsid w:val="3BC78AAE"/>
    <w:rsid w:val="3BD6DABD"/>
    <w:rsid w:val="3BDDA61E"/>
    <w:rsid w:val="3BF9AAC3"/>
    <w:rsid w:val="3C5F0BC7"/>
    <w:rsid w:val="3C7DBD47"/>
    <w:rsid w:val="3CF7E356"/>
    <w:rsid w:val="3D7DF40C"/>
    <w:rsid w:val="3D9250B6"/>
    <w:rsid w:val="3DA4184B"/>
    <w:rsid w:val="3E773E4D"/>
    <w:rsid w:val="3EAF4975"/>
    <w:rsid w:val="3EBF98A2"/>
    <w:rsid w:val="3EC7CC3E"/>
    <w:rsid w:val="3ECD74E4"/>
    <w:rsid w:val="3EFE4DDD"/>
    <w:rsid w:val="3EFFAE08"/>
    <w:rsid w:val="3F6FADFB"/>
    <w:rsid w:val="3F7B05EB"/>
    <w:rsid w:val="3F9E4671"/>
    <w:rsid w:val="3FA7648C"/>
    <w:rsid w:val="3FDBE769"/>
    <w:rsid w:val="3FDFABA4"/>
    <w:rsid w:val="3FEFD077"/>
    <w:rsid w:val="3FF7C682"/>
    <w:rsid w:val="3FFDABE9"/>
    <w:rsid w:val="3FFF204D"/>
    <w:rsid w:val="41785525"/>
    <w:rsid w:val="4363444C"/>
    <w:rsid w:val="45D902FF"/>
    <w:rsid w:val="45FB40EB"/>
    <w:rsid w:val="477DBF28"/>
    <w:rsid w:val="47DA33EE"/>
    <w:rsid w:val="47FED231"/>
    <w:rsid w:val="48ED4B59"/>
    <w:rsid w:val="493D6E92"/>
    <w:rsid w:val="4BEB05B9"/>
    <w:rsid w:val="4E42E002"/>
    <w:rsid w:val="4F58CC34"/>
    <w:rsid w:val="4FBD13CC"/>
    <w:rsid w:val="4FDF7A1D"/>
    <w:rsid w:val="4FE57B3B"/>
    <w:rsid w:val="4FF76909"/>
    <w:rsid w:val="51FD0BE5"/>
    <w:rsid w:val="527FE452"/>
    <w:rsid w:val="53FE5101"/>
    <w:rsid w:val="54E478E1"/>
    <w:rsid w:val="5557BEBD"/>
    <w:rsid w:val="55AC8A25"/>
    <w:rsid w:val="55CF5562"/>
    <w:rsid w:val="55FF4B0D"/>
    <w:rsid w:val="5676A0B8"/>
    <w:rsid w:val="57BD9267"/>
    <w:rsid w:val="57E5A135"/>
    <w:rsid w:val="57F5ECB6"/>
    <w:rsid w:val="57F70F93"/>
    <w:rsid w:val="58AF8244"/>
    <w:rsid w:val="59681217"/>
    <w:rsid w:val="5ABDAA70"/>
    <w:rsid w:val="5AE9E4F1"/>
    <w:rsid w:val="5B3F48FE"/>
    <w:rsid w:val="5BD774B3"/>
    <w:rsid w:val="5BDFE75F"/>
    <w:rsid w:val="5C1FAB86"/>
    <w:rsid w:val="5CEFE893"/>
    <w:rsid w:val="5D5938C7"/>
    <w:rsid w:val="5D692D25"/>
    <w:rsid w:val="5D7E7FD4"/>
    <w:rsid w:val="5D841F7C"/>
    <w:rsid w:val="5DD9288F"/>
    <w:rsid w:val="5DF7FC15"/>
    <w:rsid w:val="5DFB7DD2"/>
    <w:rsid w:val="5E5E6192"/>
    <w:rsid w:val="5F2E8759"/>
    <w:rsid w:val="5F3F1889"/>
    <w:rsid w:val="5F6F22D0"/>
    <w:rsid w:val="5F971DD6"/>
    <w:rsid w:val="5FA57A26"/>
    <w:rsid w:val="5FCF68A6"/>
    <w:rsid w:val="5FDFF620"/>
    <w:rsid w:val="5FE09035"/>
    <w:rsid w:val="5FE63F66"/>
    <w:rsid w:val="5FF77258"/>
    <w:rsid w:val="5FF82761"/>
    <w:rsid w:val="5FFBBACA"/>
    <w:rsid w:val="5FFE37A2"/>
    <w:rsid w:val="5FFE8D1D"/>
    <w:rsid w:val="5FFF97D7"/>
    <w:rsid w:val="5FFFBA9F"/>
    <w:rsid w:val="60182240"/>
    <w:rsid w:val="607FA54A"/>
    <w:rsid w:val="634DAC6B"/>
    <w:rsid w:val="637D772C"/>
    <w:rsid w:val="639B8654"/>
    <w:rsid w:val="63BCA812"/>
    <w:rsid w:val="63E73E9A"/>
    <w:rsid w:val="63FF972A"/>
    <w:rsid w:val="64FE08A6"/>
    <w:rsid w:val="659FAC70"/>
    <w:rsid w:val="65ED4BEE"/>
    <w:rsid w:val="65FEA8E4"/>
    <w:rsid w:val="65FF634F"/>
    <w:rsid w:val="66ACA8DA"/>
    <w:rsid w:val="66F9DC70"/>
    <w:rsid w:val="67F7350B"/>
    <w:rsid w:val="6A3F8EFF"/>
    <w:rsid w:val="6A660155"/>
    <w:rsid w:val="6B0F624D"/>
    <w:rsid w:val="6B4E4A88"/>
    <w:rsid w:val="6BB71EF7"/>
    <w:rsid w:val="6CA93B6E"/>
    <w:rsid w:val="6CB30FFA"/>
    <w:rsid w:val="6D379B6C"/>
    <w:rsid w:val="6D5FB288"/>
    <w:rsid w:val="6DB50210"/>
    <w:rsid w:val="6DDD7632"/>
    <w:rsid w:val="6DEC18A8"/>
    <w:rsid w:val="6E1F6CD4"/>
    <w:rsid w:val="6E7EEFD6"/>
    <w:rsid w:val="6E7EF3C9"/>
    <w:rsid w:val="6EBF5505"/>
    <w:rsid w:val="6EDBFA20"/>
    <w:rsid w:val="6EFE9C19"/>
    <w:rsid w:val="6F2F3972"/>
    <w:rsid w:val="6F769EEB"/>
    <w:rsid w:val="6F7D03EC"/>
    <w:rsid w:val="6F7DB1E3"/>
    <w:rsid w:val="6F91B9B1"/>
    <w:rsid w:val="6F9EF649"/>
    <w:rsid w:val="6FBF1B45"/>
    <w:rsid w:val="6FDF79FB"/>
    <w:rsid w:val="6FE7049A"/>
    <w:rsid w:val="6FEE5306"/>
    <w:rsid w:val="6FF30314"/>
    <w:rsid w:val="6FF45BE3"/>
    <w:rsid w:val="6FF683F6"/>
    <w:rsid w:val="6FF7D3F9"/>
    <w:rsid w:val="6FF997AF"/>
    <w:rsid w:val="6FFA2973"/>
    <w:rsid w:val="6FFB6969"/>
    <w:rsid w:val="6FFD877F"/>
    <w:rsid w:val="705F5E50"/>
    <w:rsid w:val="71BB1ED2"/>
    <w:rsid w:val="71DD9FE6"/>
    <w:rsid w:val="71FB1548"/>
    <w:rsid w:val="733EF7B6"/>
    <w:rsid w:val="73EDD4FB"/>
    <w:rsid w:val="73FE0159"/>
    <w:rsid w:val="73FF6CCB"/>
    <w:rsid w:val="73FFFE84"/>
    <w:rsid w:val="749EE336"/>
    <w:rsid w:val="753C731B"/>
    <w:rsid w:val="75B74F1B"/>
    <w:rsid w:val="75D7771C"/>
    <w:rsid w:val="75FAEF89"/>
    <w:rsid w:val="769996D8"/>
    <w:rsid w:val="76F9F7DF"/>
    <w:rsid w:val="76FFE72B"/>
    <w:rsid w:val="773F7F54"/>
    <w:rsid w:val="77738137"/>
    <w:rsid w:val="777703B9"/>
    <w:rsid w:val="777F6554"/>
    <w:rsid w:val="778FC4EB"/>
    <w:rsid w:val="779F9F27"/>
    <w:rsid w:val="77AF838F"/>
    <w:rsid w:val="77B70031"/>
    <w:rsid w:val="77CF0513"/>
    <w:rsid w:val="77D73FA3"/>
    <w:rsid w:val="77D777EA"/>
    <w:rsid w:val="77E74F16"/>
    <w:rsid w:val="77EA7673"/>
    <w:rsid w:val="77EFBB53"/>
    <w:rsid w:val="77F179EC"/>
    <w:rsid w:val="77F54435"/>
    <w:rsid w:val="77F5DEBD"/>
    <w:rsid w:val="77F9A899"/>
    <w:rsid w:val="77F9D182"/>
    <w:rsid w:val="77FD8B82"/>
    <w:rsid w:val="77FF2385"/>
    <w:rsid w:val="77FFC6B5"/>
    <w:rsid w:val="78FB19CE"/>
    <w:rsid w:val="797FD69F"/>
    <w:rsid w:val="79D3CB55"/>
    <w:rsid w:val="79DD8D4E"/>
    <w:rsid w:val="79DF131B"/>
    <w:rsid w:val="79FBABB2"/>
    <w:rsid w:val="79FFED4B"/>
    <w:rsid w:val="79FFF9FC"/>
    <w:rsid w:val="7A6F4219"/>
    <w:rsid w:val="7A7B8D3B"/>
    <w:rsid w:val="7AAFC916"/>
    <w:rsid w:val="7ADFEE10"/>
    <w:rsid w:val="7AEFB9EF"/>
    <w:rsid w:val="7AFF4048"/>
    <w:rsid w:val="7B10E7FE"/>
    <w:rsid w:val="7B17023D"/>
    <w:rsid w:val="7B37C814"/>
    <w:rsid w:val="7B671F90"/>
    <w:rsid w:val="7B7F39A0"/>
    <w:rsid w:val="7BBAB4C0"/>
    <w:rsid w:val="7BBFC8CD"/>
    <w:rsid w:val="7BBFFC9F"/>
    <w:rsid w:val="7BD30353"/>
    <w:rsid w:val="7BD5807C"/>
    <w:rsid w:val="7BE91642"/>
    <w:rsid w:val="7BEF3CC0"/>
    <w:rsid w:val="7BF3446D"/>
    <w:rsid w:val="7BF7D83F"/>
    <w:rsid w:val="7BF7E466"/>
    <w:rsid w:val="7BFB1D00"/>
    <w:rsid w:val="7BFD0FE9"/>
    <w:rsid w:val="7BFD19D9"/>
    <w:rsid w:val="7BFF6AAB"/>
    <w:rsid w:val="7BFF72E5"/>
    <w:rsid w:val="7BFFA4D5"/>
    <w:rsid w:val="7C1FA941"/>
    <w:rsid w:val="7C3D5D9D"/>
    <w:rsid w:val="7C764342"/>
    <w:rsid w:val="7D2B94AC"/>
    <w:rsid w:val="7D3FC55D"/>
    <w:rsid w:val="7D59CC25"/>
    <w:rsid w:val="7D9C20F9"/>
    <w:rsid w:val="7DB7441D"/>
    <w:rsid w:val="7DBD9087"/>
    <w:rsid w:val="7DDA2DF8"/>
    <w:rsid w:val="7DE603CD"/>
    <w:rsid w:val="7DE66E66"/>
    <w:rsid w:val="7DEF8B1A"/>
    <w:rsid w:val="7DF6986E"/>
    <w:rsid w:val="7DFF0D4D"/>
    <w:rsid w:val="7DFF0D7E"/>
    <w:rsid w:val="7DFF1818"/>
    <w:rsid w:val="7DFFB179"/>
    <w:rsid w:val="7DFFFB3D"/>
    <w:rsid w:val="7E37AC01"/>
    <w:rsid w:val="7E3B336D"/>
    <w:rsid w:val="7E5E8A87"/>
    <w:rsid w:val="7E5F689C"/>
    <w:rsid w:val="7E8FFF9C"/>
    <w:rsid w:val="7EA30982"/>
    <w:rsid w:val="7EACF1BC"/>
    <w:rsid w:val="7EBA6BCE"/>
    <w:rsid w:val="7ED5F3AB"/>
    <w:rsid w:val="7EDFF277"/>
    <w:rsid w:val="7EE61A8B"/>
    <w:rsid w:val="7EEF6E55"/>
    <w:rsid w:val="7EF793AB"/>
    <w:rsid w:val="7EFC1754"/>
    <w:rsid w:val="7EFF5423"/>
    <w:rsid w:val="7F3566A3"/>
    <w:rsid w:val="7F372393"/>
    <w:rsid w:val="7F3D4E50"/>
    <w:rsid w:val="7F45E0E0"/>
    <w:rsid w:val="7F5919ED"/>
    <w:rsid w:val="7F7860F2"/>
    <w:rsid w:val="7F7B7A3D"/>
    <w:rsid w:val="7F7D7D51"/>
    <w:rsid w:val="7F8D7836"/>
    <w:rsid w:val="7F8FAACD"/>
    <w:rsid w:val="7FAA8523"/>
    <w:rsid w:val="7FB48010"/>
    <w:rsid w:val="7FBEF273"/>
    <w:rsid w:val="7FBF37B9"/>
    <w:rsid w:val="7FBF818A"/>
    <w:rsid w:val="7FCF89D4"/>
    <w:rsid w:val="7FDA4069"/>
    <w:rsid w:val="7FDAF4B3"/>
    <w:rsid w:val="7FDCCC5D"/>
    <w:rsid w:val="7FDF45BF"/>
    <w:rsid w:val="7FDF837D"/>
    <w:rsid w:val="7FE72922"/>
    <w:rsid w:val="7FE7DD9F"/>
    <w:rsid w:val="7FEB4138"/>
    <w:rsid w:val="7FF15C46"/>
    <w:rsid w:val="7FF3028D"/>
    <w:rsid w:val="7FF38BD6"/>
    <w:rsid w:val="7FF38FF1"/>
    <w:rsid w:val="7FF622A8"/>
    <w:rsid w:val="7FF75844"/>
    <w:rsid w:val="7FF86C94"/>
    <w:rsid w:val="7FFBCBDA"/>
    <w:rsid w:val="7FFBF621"/>
    <w:rsid w:val="7FFC287C"/>
    <w:rsid w:val="7FFD26BC"/>
    <w:rsid w:val="7FFE0AD8"/>
    <w:rsid w:val="7FFE12B6"/>
    <w:rsid w:val="7FFE3BCF"/>
    <w:rsid w:val="7FFE87FD"/>
    <w:rsid w:val="7FFE997D"/>
    <w:rsid w:val="7FFED2B4"/>
    <w:rsid w:val="7FFF049C"/>
    <w:rsid w:val="7FFF1E7F"/>
    <w:rsid w:val="7FFF3026"/>
    <w:rsid w:val="7FFF4D8C"/>
    <w:rsid w:val="7FFF6AD8"/>
    <w:rsid w:val="7FFFF82D"/>
    <w:rsid w:val="86DDD7BD"/>
    <w:rsid w:val="8739CF01"/>
    <w:rsid w:val="87F78932"/>
    <w:rsid w:val="89CACD65"/>
    <w:rsid w:val="8B3E2AEB"/>
    <w:rsid w:val="8DE1DAEF"/>
    <w:rsid w:val="8EBFF18C"/>
    <w:rsid w:val="8FDD6BA3"/>
    <w:rsid w:val="8FF976CD"/>
    <w:rsid w:val="956D04E7"/>
    <w:rsid w:val="971F6BB7"/>
    <w:rsid w:val="977BE096"/>
    <w:rsid w:val="97C73360"/>
    <w:rsid w:val="9EBDC495"/>
    <w:rsid w:val="9EF5A004"/>
    <w:rsid w:val="9F97D1A8"/>
    <w:rsid w:val="9FDF0B8B"/>
    <w:rsid w:val="9FDFB4C1"/>
    <w:rsid w:val="9FF8730A"/>
    <w:rsid w:val="A39FEB51"/>
    <w:rsid w:val="A4EFAACE"/>
    <w:rsid w:val="A5D597F1"/>
    <w:rsid w:val="A66AFAEE"/>
    <w:rsid w:val="A6DAE620"/>
    <w:rsid w:val="A77646DF"/>
    <w:rsid w:val="A7FA8366"/>
    <w:rsid w:val="A92F3E93"/>
    <w:rsid w:val="AA847FC3"/>
    <w:rsid w:val="AAF71CCC"/>
    <w:rsid w:val="ABF7ACA2"/>
    <w:rsid w:val="AD1D9901"/>
    <w:rsid w:val="ADEC3156"/>
    <w:rsid w:val="AFAFAE3F"/>
    <w:rsid w:val="AFBF38C4"/>
    <w:rsid w:val="B1FFEE3D"/>
    <w:rsid w:val="B2FBB34E"/>
    <w:rsid w:val="B39DDCE7"/>
    <w:rsid w:val="B3BF61F7"/>
    <w:rsid w:val="B3F390CD"/>
    <w:rsid w:val="B5DB2C5F"/>
    <w:rsid w:val="B6DBE033"/>
    <w:rsid w:val="B7BF2449"/>
    <w:rsid w:val="B7CFB4C5"/>
    <w:rsid w:val="B7DE5704"/>
    <w:rsid w:val="B7DF9BF3"/>
    <w:rsid w:val="B7EA9716"/>
    <w:rsid w:val="B7EE09B7"/>
    <w:rsid w:val="B7FDDA75"/>
    <w:rsid w:val="B7FFF8F5"/>
    <w:rsid w:val="B9FC18E3"/>
    <w:rsid w:val="B9FF5711"/>
    <w:rsid w:val="BAFF47E1"/>
    <w:rsid w:val="BB797C94"/>
    <w:rsid w:val="BB7DFB66"/>
    <w:rsid w:val="BBF49788"/>
    <w:rsid w:val="BBF71CC5"/>
    <w:rsid w:val="BCEE74F4"/>
    <w:rsid w:val="BD36890D"/>
    <w:rsid w:val="BD5EFD44"/>
    <w:rsid w:val="BD7FD870"/>
    <w:rsid w:val="BDB645F8"/>
    <w:rsid w:val="BDDF1F99"/>
    <w:rsid w:val="BDF96E08"/>
    <w:rsid w:val="BDFC78C6"/>
    <w:rsid w:val="BE570708"/>
    <w:rsid w:val="BEB1D468"/>
    <w:rsid w:val="BEE4E565"/>
    <w:rsid w:val="BEFB3AAD"/>
    <w:rsid w:val="BEFEE273"/>
    <w:rsid w:val="BF135F09"/>
    <w:rsid w:val="BF7FBA8A"/>
    <w:rsid w:val="BFAF5104"/>
    <w:rsid w:val="BFD22A52"/>
    <w:rsid w:val="BFD73101"/>
    <w:rsid w:val="BFDFDB94"/>
    <w:rsid w:val="BFF6D89F"/>
    <w:rsid w:val="BFFDFDC0"/>
    <w:rsid w:val="BFFF4D5F"/>
    <w:rsid w:val="BFFFD80F"/>
    <w:rsid w:val="BFFFE7C3"/>
    <w:rsid w:val="C1EEC855"/>
    <w:rsid w:val="C593C6F3"/>
    <w:rsid w:val="C77BCE83"/>
    <w:rsid w:val="C77ECBB7"/>
    <w:rsid w:val="C7DD67A4"/>
    <w:rsid w:val="C7E8E962"/>
    <w:rsid w:val="C7FF16AA"/>
    <w:rsid w:val="CB7FA6CD"/>
    <w:rsid w:val="CBFEF4AA"/>
    <w:rsid w:val="CCB5C730"/>
    <w:rsid w:val="CD7F5434"/>
    <w:rsid w:val="CEED2543"/>
    <w:rsid w:val="CEFF2943"/>
    <w:rsid w:val="CF750826"/>
    <w:rsid w:val="CFB709E1"/>
    <w:rsid w:val="D09F0BCA"/>
    <w:rsid w:val="D1F9F747"/>
    <w:rsid w:val="D2744F6A"/>
    <w:rsid w:val="D5DEF2A9"/>
    <w:rsid w:val="D76F2A33"/>
    <w:rsid w:val="D77FE816"/>
    <w:rsid w:val="D7E09C88"/>
    <w:rsid w:val="D7FEBFC2"/>
    <w:rsid w:val="D85BA608"/>
    <w:rsid w:val="D9DFDF95"/>
    <w:rsid w:val="D9EA41AB"/>
    <w:rsid w:val="D9F191B0"/>
    <w:rsid w:val="DB5B3F8A"/>
    <w:rsid w:val="DBCE76C6"/>
    <w:rsid w:val="DBFBD4DA"/>
    <w:rsid w:val="DC3F614C"/>
    <w:rsid w:val="DCBF28C2"/>
    <w:rsid w:val="DCD98FA3"/>
    <w:rsid w:val="DCEF2307"/>
    <w:rsid w:val="DCF3950B"/>
    <w:rsid w:val="DD798502"/>
    <w:rsid w:val="DD9DAE09"/>
    <w:rsid w:val="DDBEDF1C"/>
    <w:rsid w:val="DDBFDD44"/>
    <w:rsid w:val="DDC7D009"/>
    <w:rsid w:val="DDD6D59E"/>
    <w:rsid w:val="DDFB1627"/>
    <w:rsid w:val="DDFD4BF6"/>
    <w:rsid w:val="DDFFD4A8"/>
    <w:rsid w:val="DDFFDD58"/>
    <w:rsid w:val="DEDD05DA"/>
    <w:rsid w:val="DEF88D65"/>
    <w:rsid w:val="DEFED1C8"/>
    <w:rsid w:val="DF3EF465"/>
    <w:rsid w:val="DF4CCAB4"/>
    <w:rsid w:val="DF6C26E1"/>
    <w:rsid w:val="DF7AA5C9"/>
    <w:rsid w:val="DF87C8C1"/>
    <w:rsid w:val="DF8B1B2C"/>
    <w:rsid w:val="DFB3827B"/>
    <w:rsid w:val="DFDFFDFA"/>
    <w:rsid w:val="DFE90EBC"/>
    <w:rsid w:val="DFEA76C4"/>
    <w:rsid w:val="DFF5BFD2"/>
    <w:rsid w:val="DFFD8197"/>
    <w:rsid w:val="DFFF2F1B"/>
    <w:rsid w:val="DFFF3515"/>
    <w:rsid w:val="DFFF519C"/>
    <w:rsid w:val="DFFFA710"/>
    <w:rsid w:val="E2CAD5A2"/>
    <w:rsid w:val="E33A7AE3"/>
    <w:rsid w:val="E4E79155"/>
    <w:rsid w:val="E57DEA05"/>
    <w:rsid w:val="E5FF8744"/>
    <w:rsid w:val="E67FBE32"/>
    <w:rsid w:val="E6EEA110"/>
    <w:rsid w:val="E7F50176"/>
    <w:rsid w:val="E7FB2245"/>
    <w:rsid w:val="E7FB8803"/>
    <w:rsid w:val="E7FCD037"/>
    <w:rsid w:val="E7FF5294"/>
    <w:rsid w:val="E7FF8837"/>
    <w:rsid w:val="E8FCA9DC"/>
    <w:rsid w:val="E97BD404"/>
    <w:rsid w:val="E97FD0F9"/>
    <w:rsid w:val="E9DFB010"/>
    <w:rsid w:val="E9EECB60"/>
    <w:rsid w:val="E9F78CAC"/>
    <w:rsid w:val="EB6C869D"/>
    <w:rsid w:val="EBBDD6D1"/>
    <w:rsid w:val="EBF508F4"/>
    <w:rsid w:val="EBF70A7E"/>
    <w:rsid w:val="EDB716C4"/>
    <w:rsid w:val="EDCBAE66"/>
    <w:rsid w:val="EDDB4859"/>
    <w:rsid w:val="EDFFEC8C"/>
    <w:rsid w:val="EE6FC783"/>
    <w:rsid w:val="EEF29447"/>
    <w:rsid w:val="EEFF1CCD"/>
    <w:rsid w:val="EF4C0B29"/>
    <w:rsid w:val="EF5E4686"/>
    <w:rsid w:val="EF5EAF1F"/>
    <w:rsid w:val="EF7FB26F"/>
    <w:rsid w:val="EFCFB6FC"/>
    <w:rsid w:val="EFD3E2FD"/>
    <w:rsid w:val="EFF7813D"/>
    <w:rsid w:val="EFFD51C7"/>
    <w:rsid w:val="EFFE0171"/>
    <w:rsid w:val="EFFEC06C"/>
    <w:rsid w:val="EFFF02AB"/>
    <w:rsid w:val="F17BAA92"/>
    <w:rsid w:val="F19B4EB2"/>
    <w:rsid w:val="F1FD6A54"/>
    <w:rsid w:val="F26739BC"/>
    <w:rsid w:val="F277662C"/>
    <w:rsid w:val="F27FDC70"/>
    <w:rsid w:val="F2FF1DCF"/>
    <w:rsid w:val="F2FF7C3C"/>
    <w:rsid w:val="F39C6806"/>
    <w:rsid w:val="F3BA4C3B"/>
    <w:rsid w:val="F4DF8FD1"/>
    <w:rsid w:val="F4E43687"/>
    <w:rsid w:val="F4EDD0F3"/>
    <w:rsid w:val="F4FF008B"/>
    <w:rsid w:val="F58D4FB4"/>
    <w:rsid w:val="F5DDEA7A"/>
    <w:rsid w:val="F5EFA5D9"/>
    <w:rsid w:val="F5FFA9D7"/>
    <w:rsid w:val="F5FFECAE"/>
    <w:rsid w:val="F62FA410"/>
    <w:rsid w:val="F63E9D88"/>
    <w:rsid w:val="F63F2144"/>
    <w:rsid w:val="F6BBF336"/>
    <w:rsid w:val="F6FF4FCE"/>
    <w:rsid w:val="F727E772"/>
    <w:rsid w:val="F73B64AF"/>
    <w:rsid w:val="F76F6115"/>
    <w:rsid w:val="F77BE2AF"/>
    <w:rsid w:val="F77C2D03"/>
    <w:rsid w:val="F7AC2B82"/>
    <w:rsid w:val="F7ECA3A5"/>
    <w:rsid w:val="F7EEDFA5"/>
    <w:rsid w:val="F7F385B9"/>
    <w:rsid w:val="F7F3962A"/>
    <w:rsid w:val="F7F7F57F"/>
    <w:rsid w:val="F7FA484C"/>
    <w:rsid w:val="F7FE1C8F"/>
    <w:rsid w:val="F7FEEBD9"/>
    <w:rsid w:val="F7FF319A"/>
    <w:rsid w:val="F8BFD332"/>
    <w:rsid w:val="F98FCE56"/>
    <w:rsid w:val="F9BBCB76"/>
    <w:rsid w:val="F9BF2501"/>
    <w:rsid w:val="F9DFB02F"/>
    <w:rsid w:val="F9FF121F"/>
    <w:rsid w:val="FA5DA9B0"/>
    <w:rsid w:val="FAB613C8"/>
    <w:rsid w:val="FAC9A9F5"/>
    <w:rsid w:val="FAD28CE5"/>
    <w:rsid w:val="FADB85A9"/>
    <w:rsid w:val="FAEBDCE1"/>
    <w:rsid w:val="FAEF6830"/>
    <w:rsid w:val="FAFBFC3A"/>
    <w:rsid w:val="FAFFEE69"/>
    <w:rsid w:val="FB76E298"/>
    <w:rsid w:val="FB7C1EE2"/>
    <w:rsid w:val="FBAED539"/>
    <w:rsid w:val="FBBFE7AC"/>
    <w:rsid w:val="FBC9D2FD"/>
    <w:rsid w:val="FBDFDA48"/>
    <w:rsid w:val="FBDFE1B5"/>
    <w:rsid w:val="FBE6BC73"/>
    <w:rsid w:val="FBE70191"/>
    <w:rsid w:val="FBEC6C33"/>
    <w:rsid w:val="FBF3144F"/>
    <w:rsid w:val="FBF50672"/>
    <w:rsid w:val="FBFAFA56"/>
    <w:rsid w:val="FBFD13FF"/>
    <w:rsid w:val="FBFE74A5"/>
    <w:rsid w:val="FBFEDD30"/>
    <w:rsid w:val="FBFFD78C"/>
    <w:rsid w:val="FCB4F14E"/>
    <w:rsid w:val="FCEB6438"/>
    <w:rsid w:val="FCEDAC90"/>
    <w:rsid w:val="FCF7BDF7"/>
    <w:rsid w:val="FCFBF8E0"/>
    <w:rsid w:val="FCFF81FB"/>
    <w:rsid w:val="FD2E79AE"/>
    <w:rsid w:val="FD77B53A"/>
    <w:rsid w:val="FD77BAB2"/>
    <w:rsid w:val="FD7DD172"/>
    <w:rsid w:val="FD9FCB49"/>
    <w:rsid w:val="FDAFFE4C"/>
    <w:rsid w:val="FDB3E4CD"/>
    <w:rsid w:val="FDBFEBC1"/>
    <w:rsid w:val="FDDFAEB4"/>
    <w:rsid w:val="FDED343A"/>
    <w:rsid w:val="FDEE951F"/>
    <w:rsid w:val="FDF73AA7"/>
    <w:rsid w:val="FDF9F910"/>
    <w:rsid w:val="FDFB9687"/>
    <w:rsid w:val="FDFF5F30"/>
    <w:rsid w:val="FE3F4E45"/>
    <w:rsid w:val="FE3FC4B1"/>
    <w:rsid w:val="FE8BCEFD"/>
    <w:rsid w:val="FE8EC38D"/>
    <w:rsid w:val="FEAB0482"/>
    <w:rsid w:val="FEB34261"/>
    <w:rsid w:val="FEC7DE05"/>
    <w:rsid w:val="FECE856F"/>
    <w:rsid w:val="FECFAE94"/>
    <w:rsid w:val="FECFE395"/>
    <w:rsid w:val="FEDDF0FC"/>
    <w:rsid w:val="FEDE76B6"/>
    <w:rsid w:val="FEDF4102"/>
    <w:rsid w:val="FEE2097A"/>
    <w:rsid w:val="FEE9CDF5"/>
    <w:rsid w:val="FEF6F125"/>
    <w:rsid w:val="FEFF8B22"/>
    <w:rsid w:val="FEFFDE98"/>
    <w:rsid w:val="FEFFE548"/>
    <w:rsid w:val="FF2A5CBA"/>
    <w:rsid w:val="FF369CC2"/>
    <w:rsid w:val="FF3C30CF"/>
    <w:rsid w:val="FF3F3732"/>
    <w:rsid w:val="FF4377A9"/>
    <w:rsid w:val="FF5F46B3"/>
    <w:rsid w:val="FF6399DD"/>
    <w:rsid w:val="FF6737DB"/>
    <w:rsid w:val="FF778CA3"/>
    <w:rsid w:val="FF7E8B9B"/>
    <w:rsid w:val="FFAA8816"/>
    <w:rsid w:val="FFAFA6D4"/>
    <w:rsid w:val="FFBB0A3A"/>
    <w:rsid w:val="FFBB9E60"/>
    <w:rsid w:val="FFBF48AD"/>
    <w:rsid w:val="FFD471AD"/>
    <w:rsid w:val="FFD6E8D7"/>
    <w:rsid w:val="FFDBA14B"/>
    <w:rsid w:val="FFDBB318"/>
    <w:rsid w:val="FFDDE6A5"/>
    <w:rsid w:val="FFDE5DAC"/>
    <w:rsid w:val="FFDEB782"/>
    <w:rsid w:val="FFEB9428"/>
    <w:rsid w:val="FFED3B17"/>
    <w:rsid w:val="FFEFC267"/>
    <w:rsid w:val="FFF3DF27"/>
    <w:rsid w:val="FFF5D202"/>
    <w:rsid w:val="FFF7C57C"/>
    <w:rsid w:val="FFF88541"/>
    <w:rsid w:val="FFF96849"/>
    <w:rsid w:val="FFFB7FBA"/>
    <w:rsid w:val="FFFC37DB"/>
    <w:rsid w:val="FFFC95A9"/>
    <w:rsid w:val="FFFDDB0B"/>
    <w:rsid w:val="FFFE5AC6"/>
    <w:rsid w:val="FFFEEA7E"/>
    <w:rsid w:val="FFFF0D24"/>
    <w:rsid w:val="FFFF4AEB"/>
    <w:rsid w:val="FFFF82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paragraph" w:styleId="2">
    <w:name w:val="heading 1"/>
    <w:basedOn w:val="1"/>
    <w:next w:val="1"/>
    <w:link w:val="20"/>
    <w:qFormat/>
    <w:uiPriority w:val="0"/>
    <w:pPr>
      <w:keepNext w:val="0"/>
      <w:keepLines w:val="0"/>
      <w:spacing w:beforeLines="0" w:beforeAutospacing="0" w:afterLines="0" w:afterAutospacing="0" w:line="550" w:lineRule="exact"/>
      <w:ind w:firstLine="632" w:firstLineChars="200"/>
      <w:outlineLvl w:val="0"/>
    </w:pPr>
    <w:rPr>
      <w:rFonts w:eastAsia="黑体"/>
      <w:color w:val="000000"/>
    </w:rPr>
  </w:style>
  <w:style w:type="paragraph" w:styleId="3">
    <w:name w:val="heading 2"/>
    <w:basedOn w:val="1"/>
    <w:next w:val="1"/>
    <w:link w:val="10"/>
    <w:unhideWhenUsed/>
    <w:qFormat/>
    <w:uiPriority w:val="0"/>
    <w:pPr>
      <w:keepNext w:val="0"/>
      <w:keepLines w:val="0"/>
      <w:spacing w:beforeLines="0" w:beforeAutospacing="0" w:afterLines="0" w:afterAutospacing="0" w:line="550" w:lineRule="exact"/>
      <w:ind w:firstLine="632" w:firstLineChars="200"/>
      <w:outlineLvl w:val="1"/>
    </w:pPr>
    <w:rPr>
      <w:rFonts w:eastAsia="楷体_GB2312"/>
      <w:color w:val="000000"/>
    </w:rPr>
  </w:style>
  <w:style w:type="paragraph" w:styleId="4">
    <w:name w:val="heading 3"/>
    <w:basedOn w:val="1"/>
    <w:next w:val="1"/>
    <w:unhideWhenUsed/>
    <w:qFormat/>
    <w:uiPriority w:val="0"/>
    <w:pPr>
      <w:keepNext w:val="0"/>
      <w:keepLines w:val="0"/>
      <w:spacing w:beforeLines="0" w:beforeAutospacing="0" w:afterLines="0" w:afterAutospacing="0" w:line="550" w:lineRule="exact"/>
      <w:ind w:firstLine="632" w:firstLineChars="200"/>
      <w:outlineLvl w:val="2"/>
    </w:pPr>
    <w:rPr>
      <w:b/>
      <w:color w:val="000000"/>
    </w:rPr>
  </w:style>
  <w:style w:type="paragraph" w:styleId="5">
    <w:name w:val="heading 4"/>
    <w:basedOn w:val="1"/>
    <w:next w:val="1"/>
    <w:unhideWhenUsed/>
    <w:qFormat/>
    <w:uiPriority w:val="0"/>
    <w:pPr>
      <w:keepNext w:val="0"/>
      <w:keepLines w:val="0"/>
      <w:spacing w:beforeLines="0" w:beforeAutospacing="0" w:afterLines="0" w:afterAutospacing="0" w:line="550" w:lineRule="exact"/>
      <w:outlineLvl w:val="3"/>
    </w:pPr>
    <w:rPr>
      <w:rFonts w:ascii="Times New Roman" w:hAnsi="Times New Roman" w:eastAsia="仿宋"/>
      <w:sz w:val="32"/>
    </w:rPr>
  </w:style>
  <w:style w:type="character" w:default="1" w:styleId="9">
    <w:name w:val="Default Paragraph Font"/>
    <w:qFormat/>
    <w:uiPriority w:val="0"/>
    <w:rPr>
      <w:rFonts w:ascii="Times New Roman" w:hAnsi="Times New Roman" w:eastAsia="仿宋"/>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微软雅黑" w:hAnsi="微软雅黑" w:eastAsia="微软雅黑" w:cs="微软雅黑"/>
      <w:sz w:val="29"/>
      <w:szCs w:val="29"/>
      <w:lang w:val="en-US" w:eastAsia="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Times New Roman" w:hAnsi="Times New Roman" w:eastAsia="楷体_GB2312"/>
      <w:color w:val="000000"/>
      <w:sz w:val="32"/>
      <w:szCs w:val="32"/>
    </w:rPr>
  </w:style>
  <w:style w:type="paragraph" w:customStyle="1" w:styleId="11">
    <w:name w:val="大标题"/>
    <w:next w:val="12"/>
    <w:qFormat/>
    <w:uiPriority w:val="0"/>
    <w:pPr>
      <w:widowControl w:val="0"/>
      <w:spacing w:line="550" w:lineRule="exact"/>
      <w:ind w:firstLine="0" w:firstLineChars="0"/>
      <w:jc w:val="center"/>
      <w:outlineLvl w:val="0"/>
    </w:pPr>
    <w:rPr>
      <w:rFonts w:ascii="Times New Roman" w:hAnsi="Times New Roman" w:eastAsia="方正小标宋简体" w:cs="Times New Roman"/>
      <w:sz w:val="44"/>
    </w:rPr>
  </w:style>
  <w:style w:type="paragraph" w:customStyle="1" w:styleId="12">
    <w:name w:val="标题注释"/>
    <w:qFormat/>
    <w:uiPriority w:val="0"/>
    <w:pPr>
      <w:widowControl w:val="0"/>
      <w:spacing w:line="550" w:lineRule="exact"/>
      <w:ind w:firstLine="0" w:firstLineChars="0"/>
      <w:jc w:val="center"/>
      <w:outlineLvl w:val="1"/>
    </w:pPr>
    <w:rPr>
      <w:rFonts w:ascii="Times New Roman" w:hAnsi="Times New Roman" w:eastAsia="楷体_GB2312" w:cs="Times New Roman"/>
      <w:sz w:val="32"/>
    </w:rPr>
  </w:style>
  <w:style w:type="paragraph" w:customStyle="1" w:styleId="13">
    <w:name w:val="表格仿宋11五号"/>
    <w:qFormat/>
    <w:uiPriority w:val="0"/>
    <w:pPr>
      <w:widowControl w:val="0"/>
      <w:spacing w:line="0" w:lineRule="atLeast"/>
      <w:jc w:val="center"/>
    </w:pPr>
    <w:rPr>
      <w:rFonts w:ascii="Times New Roman" w:hAnsi="Times New Roman" w:eastAsia="仿宋" w:cs="仿宋"/>
      <w:kern w:val="21"/>
      <w:sz w:val="21"/>
      <w:szCs w:val="21"/>
    </w:rPr>
  </w:style>
  <w:style w:type="paragraph" w:customStyle="1" w:styleId="14">
    <w:name w:val="表格黑体11五号"/>
    <w:next w:val="13"/>
    <w:qFormat/>
    <w:uiPriority w:val="0"/>
    <w:pPr>
      <w:widowControl w:val="0"/>
      <w:spacing w:line="0" w:lineRule="atLeast"/>
      <w:jc w:val="center"/>
    </w:pPr>
    <w:rPr>
      <w:rFonts w:ascii="Times New Roman" w:hAnsi="Times New Roman" w:eastAsia="黑体" w:cs="Times New Roman"/>
      <w:kern w:val="21"/>
      <w:sz w:val="21"/>
      <w:szCs w:val="24"/>
    </w:rPr>
  </w:style>
  <w:style w:type="paragraph" w:customStyle="1" w:styleId="15">
    <w:name w:val="二级标题"/>
    <w:link w:val="16"/>
    <w:qFormat/>
    <w:uiPriority w:val="0"/>
    <w:pPr>
      <w:widowControl w:val="0"/>
      <w:spacing w:line="550" w:lineRule="exact"/>
      <w:ind w:firstLine="632" w:firstLineChars="200"/>
      <w:outlineLvl w:val="3"/>
    </w:pPr>
    <w:rPr>
      <w:rFonts w:ascii="Times New Roman" w:hAnsi="Times New Roman" w:eastAsia="楷体_GB2312" w:cs="Times New Roman"/>
      <w:sz w:val="32"/>
    </w:rPr>
  </w:style>
  <w:style w:type="character" w:customStyle="1" w:styleId="16">
    <w:name w:val="二级标题 Char"/>
    <w:link w:val="15"/>
    <w:qFormat/>
    <w:uiPriority w:val="0"/>
    <w:rPr>
      <w:rFonts w:ascii="Times New Roman" w:hAnsi="Times New Roman" w:eastAsia="楷体_GB2312"/>
      <w:kern w:val="2"/>
      <w:sz w:val="32"/>
      <w:szCs w:val="24"/>
      <w:lang w:val="en-US" w:eastAsia="zh-CN" w:bidi="ar-SA"/>
    </w:rPr>
  </w:style>
  <w:style w:type="paragraph" w:customStyle="1" w:styleId="17">
    <w:name w:val="一级标题"/>
    <w:qFormat/>
    <w:uiPriority w:val="0"/>
    <w:pPr>
      <w:widowControl w:val="0"/>
      <w:spacing w:line="550" w:lineRule="exact"/>
      <w:ind w:firstLine="632" w:firstLineChars="200"/>
      <w:outlineLvl w:val="2"/>
    </w:pPr>
    <w:rPr>
      <w:rFonts w:ascii="Times New Roman" w:hAnsi="Times New Roman" w:eastAsia="黑体" w:cs="Times New Roman"/>
      <w:sz w:val="32"/>
    </w:rPr>
  </w:style>
  <w:style w:type="paragraph" w:customStyle="1" w:styleId="18">
    <w:name w:val="样式1"/>
    <w:basedOn w:val="1"/>
    <w:qFormat/>
    <w:uiPriority w:val="0"/>
    <w:rPr>
      <w:rFonts w:eastAsia="方正小标宋简体"/>
      <w:sz w:val="28"/>
    </w:rPr>
  </w:style>
  <w:style w:type="paragraph" w:customStyle="1" w:styleId="19">
    <w:name w:val="样式2"/>
    <w:basedOn w:val="1"/>
    <w:qFormat/>
    <w:uiPriority w:val="0"/>
  </w:style>
  <w:style w:type="character" w:customStyle="1" w:styleId="20">
    <w:name w:val="标题 1 Char"/>
    <w:link w:val="2"/>
    <w:qFormat/>
    <w:uiPriority w:val="0"/>
    <w:rPr>
      <w:rFonts w:eastAsia="黑体"/>
      <w:color w:val="000000"/>
    </w:rPr>
  </w:style>
  <w:style w:type="paragraph" w:customStyle="1" w:styleId="21">
    <w:name w:val="000000"/>
    <w:basedOn w:val="1"/>
    <w:link w:val="22"/>
    <w:qFormat/>
    <w:uiPriority w:val="0"/>
    <w:rPr>
      <w:rFonts w:eastAsia="方正小标宋简体"/>
      <w:sz w:val="28"/>
    </w:rPr>
  </w:style>
  <w:style w:type="character" w:customStyle="1" w:styleId="22">
    <w:name w:val="000000 Char"/>
    <w:link w:val="21"/>
    <w:qFormat/>
    <w:uiPriority w:val="0"/>
    <w:rPr>
      <w:rFonts w:eastAsia="方正小标宋简体"/>
      <w:sz w:val="28"/>
    </w:rPr>
  </w:style>
  <w:style w:type="paragraph" w:customStyle="1" w:styleId="23">
    <w:name w:val="样式3"/>
    <w:basedOn w:val="1"/>
    <w:qFormat/>
    <w:uiPriority w:val="0"/>
  </w:style>
  <w:style w:type="paragraph" w:customStyle="1" w:styleId="24">
    <w:name w:val="样式4"/>
    <w:basedOn w:val="21"/>
    <w:qFormat/>
    <w:uiPriority w:val="0"/>
  </w:style>
  <w:style w:type="paragraph" w:customStyle="1" w:styleId="25">
    <w:name w:val="111111111"/>
    <w:basedOn w:val="1"/>
    <w:link w:val="26"/>
    <w:qFormat/>
    <w:uiPriority w:val="0"/>
    <w:rPr>
      <w:sz w:val="28"/>
    </w:rPr>
  </w:style>
  <w:style w:type="character" w:customStyle="1" w:styleId="26">
    <w:name w:val="111111111 Char"/>
    <w:link w:val="25"/>
    <w:qFormat/>
    <w:uiPriority w:val="0"/>
    <w:rPr>
      <w:sz w:val="28"/>
    </w:rPr>
  </w:style>
  <w:style w:type="paragraph" w:customStyle="1" w:styleId="27">
    <w:name w:val="样式5"/>
    <w:basedOn w:val="1"/>
    <w:link w:val="28"/>
    <w:qFormat/>
    <w:uiPriority w:val="0"/>
    <w:rPr>
      <w:sz w:val="28"/>
    </w:rPr>
  </w:style>
  <w:style w:type="character" w:customStyle="1" w:styleId="28">
    <w:name w:val="样式5 Char"/>
    <w:link w:val="27"/>
    <w:qFormat/>
    <w:uiPriority w:val="0"/>
    <w:rPr>
      <w:sz w:val="28"/>
    </w:rPr>
  </w:style>
  <w:style w:type="paragraph" w:customStyle="1" w:styleId="29">
    <w:name w:val="样式6"/>
    <w:basedOn w:val="1"/>
    <w:link w:val="30"/>
    <w:qFormat/>
    <w:uiPriority w:val="0"/>
    <w:rPr>
      <w:rFonts w:eastAsia="方正大标宋简体"/>
      <w:sz w:val="28"/>
    </w:rPr>
  </w:style>
  <w:style w:type="character" w:customStyle="1" w:styleId="30">
    <w:name w:val="样式6 Char"/>
    <w:link w:val="29"/>
    <w:qFormat/>
    <w:uiPriority w:val="0"/>
    <w:rPr>
      <w:rFonts w:eastAsia="方正大标宋简体"/>
      <w:sz w:val="28"/>
    </w:rPr>
  </w:style>
  <w:style w:type="paragraph" w:customStyle="1" w:styleId="31">
    <w:name w:val="样式7"/>
    <w:basedOn w:val="1"/>
    <w:link w:val="32"/>
    <w:qFormat/>
    <w:uiPriority w:val="0"/>
    <w:rPr>
      <w:rFonts w:eastAsia="方正小标宋简体"/>
      <w:sz w:val="28"/>
    </w:rPr>
  </w:style>
  <w:style w:type="character" w:customStyle="1" w:styleId="32">
    <w:name w:val="样式7 Char"/>
    <w:link w:val="31"/>
    <w:qFormat/>
    <w:uiPriority w:val="0"/>
    <w:rPr>
      <w:rFonts w:eastAsia="方正小标宋简体"/>
      <w:sz w:val="28"/>
    </w:rPr>
  </w:style>
  <w:style w:type="paragraph" w:customStyle="1" w:styleId="33">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Company>
  <Pages>17</Pages>
  <Words>7515</Words>
  <Characters>7597</Characters>
  <Lines>1</Lines>
  <Paragraphs>1</Paragraphs>
  <TotalTime>2</TotalTime>
  <ScaleCrop>false</ScaleCrop>
  <LinksUpToDate>false</LinksUpToDate>
  <CharactersWithSpaces>7675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2019-09-27T11:44:00Z</dcterms:created>
  <dc:creator>fy</dc:creator>
  <cp:keywords>fy</cp:keywords>
  <cp:lastModifiedBy>®木华©</cp:lastModifiedBy>
  <cp:lastPrinted>2025-11-14T11:43:00Z</cp:lastPrinted>
  <dcterms:modified xsi:type="dcterms:W3CDTF">2025-12-03T02:44:00Z</dcterms:modified>
  <dc:subject>国家行政机关公文模板——标准公文格式</dc:subject>
  <dc:title>四川省人民政府安全生产委员会文件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F35B02F6FEFA43CB898BAFE496FF1D90_13</vt:lpwstr>
  </property>
  <property fmtid="{D5CDD505-2E9C-101B-9397-08002B2CF9AE}" pid="4" name="KSOTemplateDocerSaveRecord">
    <vt:lpwstr>eyJoZGlkIjoiZjdjMWQxNjU3YmM4MmJhZmRjZWRmMzBkYzk2MTU4OWYiLCJ1c2VySWQiOiIyMzE4MjU0MDUifQ==</vt:lpwstr>
  </property>
</Properties>
</file>