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600" w:lineRule="exact"/>
        <w:rPr>
          <w:rFonts w:hint="default" w:ascii="Times New Roman" w:hAnsi="Times New Roman" w:cs="Times New Roman"/>
        </w:rPr>
      </w:pPr>
      <w:bookmarkStart w:id="0" w:name="_Toc533087374"/>
    </w:p>
    <w:p>
      <w:pPr>
        <w:pStyle w:val="14"/>
        <w:spacing w:line="600" w:lineRule="exact"/>
        <w:rPr>
          <w:rFonts w:hint="default" w:ascii="Times New Roman" w:hAnsi="Times New Roman" w:cs="Times New Roman"/>
        </w:rPr>
      </w:pPr>
    </w:p>
    <w:p>
      <w:pPr>
        <w:pStyle w:val="14"/>
        <w:spacing w:line="600" w:lineRule="exact"/>
        <w:rPr>
          <w:rFonts w:hint="default" w:ascii="Times New Roman" w:hAnsi="Times New Roman" w:cs="Times New Roman"/>
        </w:rPr>
      </w:pPr>
    </w:p>
    <w:p>
      <w:pPr>
        <w:pStyle w:val="14"/>
        <w:spacing w:line="600" w:lineRule="exact"/>
        <w:rPr>
          <w:rFonts w:hint="default" w:ascii="Times New Roman" w:hAnsi="Times New Roman" w:cs="Times New Roman"/>
        </w:rPr>
      </w:pPr>
    </w:p>
    <w:p>
      <w:pPr>
        <w:pStyle w:val="14"/>
        <w:spacing w:line="600" w:lineRule="exact"/>
        <w:rPr>
          <w:rFonts w:hint="default" w:ascii="Times New Roman" w:hAnsi="Times New Roman" w:cs="Times New Roman"/>
        </w:rPr>
      </w:pPr>
    </w:p>
    <w:p>
      <w:pPr>
        <w:pStyle w:val="14"/>
        <w:spacing w:line="600" w:lineRule="exact"/>
        <w:rPr>
          <w:rFonts w:hint="default" w:ascii="Times New Roman" w:hAnsi="Times New Roman" w:cs="Times New Roman"/>
        </w:rPr>
      </w:pPr>
      <w:r>
        <w:rPr>
          <w:rFonts w:hint="default" w:ascii="Times New Roman" w:hAnsi="Times New Roman" w:cs="Times New Roman"/>
        </w:rPr>
        <w:t>《非高危行业生产经营单位</w:t>
      </w:r>
      <w:r>
        <w:rPr>
          <w:rFonts w:hint="eastAsia" w:ascii="Times New Roman" w:hAnsi="Times New Roman" w:cs="Times New Roman"/>
          <w:lang w:eastAsia="zh-CN"/>
        </w:rPr>
        <w:t>安全生产管理人员</w:t>
      </w:r>
      <w:r>
        <w:rPr>
          <w:rFonts w:hint="default" w:ascii="Times New Roman" w:hAnsi="Times New Roman" w:cs="Times New Roman"/>
        </w:rPr>
        <w:t>安全生产考核管理规范》</w:t>
      </w:r>
      <w:bookmarkStart w:id="1" w:name="_Toc530152473"/>
      <w:bookmarkStart w:id="2" w:name="_Toc532905916"/>
      <w:bookmarkStart w:id="3" w:name="_Toc532205568"/>
      <w:bookmarkStart w:id="4" w:name="_Toc531851835"/>
      <w:bookmarkStart w:id="5" w:name="_Toc533087370"/>
      <w:bookmarkStart w:id="6" w:name="_Toc531855081"/>
    </w:p>
    <w:p>
      <w:pPr>
        <w:pStyle w:val="14"/>
        <w:spacing w:line="600" w:lineRule="exact"/>
        <w:rPr>
          <w:rFonts w:hint="default" w:ascii="Times New Roman" w:hAnsi="Times New Roman" w:eastAsia="黑体" w:cs="Times New Roman"/>
          <w:b w:val="0"/>
          <w:sz w:val="32"/>
          <w:szCs w:val="32"/>
          <w:lang w:val="en-US" w:eastAsia="zh-CN"/>
        </w:rPr>
      </w:pPr>
      <w:r>
        <w:rPr>
          <w:rFonts w:hint="eastAsia" w:ascii="Times New Roman" w:hAnsi="Times New Roman" w:cs="Times New Roman"/>
          <w:b w:val="0"/>
          <w:bCs w:val="0"/>
          <w:kern w:val="2"/>
          <w:sz w:val="44"/>
          <w:szCs w:val="24"/>
          <w:lang w:val="en-US" w:eastAsia="zh-CN" w:bidi="ar-SA"/>
        </w:rPr>
        <w:t>（征求意见稿）</w:t>
      </w:r>
      <w:r>
        <w:rPr>
          <w:rFonts w:hint="default" w:ascii="Times New Roman" w:hAnsi="Times New Roman" w:eastAsia="方正小标宋简体" w:cs="Times New Roman"/>
          <w:b w:val="0"/>
          <w:bCs w:val="0"/>
          <w:kern w:val="2"/>
          <w:sz w:val="44"/>
          <w:szCs w:val="24"/>
          <w:lang w:val="en-US" w:eastAsia="zh-CN" w:bidi="ar-SA"/>
        </w:rPr>
        <w:t>编制说明</w:t>
      </w:r>
      <w:bookmarkEnd w:id="1"/>
      <w:bookmarkEnd w:id="2"/>
      <w:bookmarkEnd w:id="3"/>
      <w:bookmarkEnd w:id="4"/>
      <w:bookmarkEnd w:id="5"/>
      <w:bookmarkEnd w:id="6"/>
    </w:p>
    <w:p>
      <w:pPr>
        <w:pStyle w:val="2"/>
        <w:pageBreakBefore w:val="0"/>
        <w:widowControl w:val="0"/>
        <w:kinsoku/>
        <w:wordWrap/>
        <w:overflowPunct/>
        <w:topLinePunct w:val="0"/>
        <w:bidi w:val="0"/>
        <w:snapToGrid w:val="0"/>
        <w:spacing w:line="580" w:lineRule="exact"/>
        <w:jc w:val="both"/>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left"/>
        <w:textAlignment w:val="auto"/>
        <w:rPr>
          <w:rFonts w:hint="eastAsia" w:eastAsia="黑体"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left"/>
        <w:textAlignment w:val="auto"/>
        <w:rPr>
          <w:rFonts w:hint="eastAsia" w:eastAsia="黑体"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left"/>
        <w:textAlignment w:val="auto"/>
        <w:rPr>
          <w:rFonts w:hint="eastAsia" w:eastAsia="黑体"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left"/>
        <w:textAlignment w:val="auto"/>
        <w:rPr>
          <w:rFonts w:hint="eastAsia" w:eastAsia="黑体" w:cs="Times New Roman"/>
          <w:b w:val="0"/>
          <w:sz w:val="32"/>
          <w:szCs w:val="32"/>
          <w:lang w:val="en-US" w:eastAsia="zh-CN"/>
        </w:rPr>
      </w:pPr>
      <w:bookmarkStart w:id="19" w:name="_GoBack"/>
      <w:bookmarkEnd w:id="19"/>
    </w:p>
    <w:p>
      <w:pPr>
        <w:pStyle w:val="2"/>
        <w:pageBreakBefore w:val="0"/>
        <w:widowControl w:val="0"/>
        <w:kinsoku/>
        <w:wordWrap/>
        <w:overflowPunct/>
        <w:topLinePunct w:val="0"/>
        <w:bidi w:val="0"/>
        <w:snapToGrid w:val="0"/>
        <w:spacing w:line="580" w:lineRule="exact"/>
        <w:jc w:val="left"/>
        <w:textAlignment w:val="auto"/>
        <w:rPr>
          <w:rFonts w:hint="eastAsia" w:eastAsia="黑体"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left"/>
        <w:textAlignment w:val="auto"/>
        <w:rPr>
          <w:rFonts w:hint="eastAsia" w:eastAsia="黑体"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left"/>
        <w:textAlignment w:val="auto"/>
        <w:rPr>
          <w:rFonts w:hint="eastAsia" w:eastAsia="黑体"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left"/>
        <w:textAlignment w:val="auto"/>
        <w:rPr>
          <w:rFonts w:hint="eastAsia" w:eastAsia="黑体"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left"/>
        <w:textAlignment w:val="auto"/>
        <w:rPr>
          <w:rFonts w:hint="eastAsia" w:eastAsia="黑体"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b w:val="0"/>
          <w:sz w:val="32"/>
          <w:szCs w:val="32"/>
          <w:lang w:val="en-US" w:eastAsia="zh-CN"/>
        </w:rPr>
        <w:t>20</w:t>
      </w:r>
      <w:r>
        <w:rPr>
          <w:rFonts w:hint="eastAsia" w:eastAsia="仿宋_GB2312" w:cs="Times New Roman"/>
          <w:b w:val="0"/>
          <w:sz w:val="32"/>
          <w:szCs w:val="32"/>
          <w:lang w:val="en-US" w:eastAsia="zh-CN"/>
        </w:rPr>
        <w:t>20</w:t>
      </w:r>
      <w:r>
        <w:rPr>
          <w:rFonts w:hint="default" w:ascii="Times New Roman" w:hAnsi="Times New Roman" w:eastAsia="仿宋_GB2312" w:cs="Times New Roman"/>
          <w:b w:val="0"/>
          <w:sz w:val="32"/>
          <w:szCs w:val="32"/>
          <w:lang w:val="en-US" w:eastAsia="zh-CN"/>
        </w:rPr>
        <w:t>年</w:t>
      </w:r>
      <w:r>
        <w:rPr>
          <w:rFonts w:hint="eastAsia" w:eastAsia="仿宋_GB2312" w:cs="Times New Roman"/>
          <w:b w:val="0"/>
          <w:sz w:val="32"/>
          <w:szCs w:val="32"/>
          <w:lang w:val="en-US" w:eastAsia="zh-CN"/>
        </w:rPr>
        <w:t>8月</w:t>
      </w:r>
    </w:p>
    <w:p>
      <w:pPr>
        <w:pStyle w:val="18"/>
        <w:numPr>
          <w:ilvl w:val="0"/>
          <w:numId w:val="0"/>
        </w:numPr>
        <w:spacing w:line="580" w:lineRule="exact"/>
        <w:ind w:leftChars="0" w:firstLine="640" w:firstLineChars="200"/>
        <w:outlineLvl w:val="0"/>
        <w:rPr>
          <w:rFonts w:ascii="黑体" w:hAnsi="黑体" w:eastAsia="黑体"/>
          <w:color w:val="auto"/>
          <w:sz w:val="32"/>
          <w:szCs w:val="32"/>
        </w:rPr>
      </w:pPr>
      <w:r>
        <w:rPr>
          <w:rFonts w:hint="eastAsia" w:ascii="黑体" w:hAnsi="黑体" w:eastAsia="黑体"/>
          <w:color w:val="auto"/>
          <w:sz w:val="32"/>
          <w:szCs w:val="32"/>
          <w:lang w:eastAsia="zh-CN"/>
        </w:rPr>
        <w:t>一、</w:t>
      </w:r>
      <w:r>
        <w:rPr>
          <w:rFonts w:ascii="黑体" w:hAnsi="黑体" w:eastAsia="黑体"/>
          <w:color w:val="auto"/>
          <w:sz w:val="32"/>
          <w:szCs w:val="32"/>
        </w:rPr>
        <w:t>标准制定的意义和社会背景</w:t>
      </w:r>
      <w:bookmarkEnd w:id="0"/>
    </w:p>
    <w:p>
      <w:pPr>
        <w:spacing w:line="580" w:lineRule="exact"/>
        <w:ind w:firstLine="640" w:firstLineChars="200"/>
        <w:outlineLvl w:val="1"/>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（一）标准编制的必要性</w:t>
      </w:r>
    </w:p>
    <w:p>
      <w:pPr>
        <w:spacing w:line="580" w:lineRule="exact"/>
        <w:ind w:firstLine="640" w:firstLineChars="200"/>
        <w:rPr>
          <w:rFonts w:eastAsia="仿宋_GB2312"/>
          <w:sz w:val="32"/>
        </w:rPr>
      </w:pPr>
      <w:r>
        <w:rPr>
          <w:rFonts w:eastAsia="仿宋_GB2312"/>
          <w:sz w:val="32"/>
        </w:rPr>
        <w:t>非高危行业</w:t>
      </w:r>
      <w:bookmarkStart w:id="7" w:name="_Toc471479891"/>
      <w:r>
        <w:rPr>
          <w:rFonts w:hint="eastAsia" w:eastAsia="仿宋_GB2312"/>
          <w:sz w:val="32"/>
        </w:rPr>
        <w:t>是指除高危行业生产经营单位以外的（不需进行安全生产许可的）所有生产经营单位及其他经济组织</w:t>
      </w:r>
      <w:bookmarkEnd w:id="7"/>
      <w:r>
        <w:rPr>
          <w:rFonts w:hint="eastAsia" w:eastAsia="仿宋_GB2312"/>
          <w:sz w:val="32"/>
        </w:rPr>
        <w:t>。</w:t>
      </w:r>
      <w:r>
        <w:rPr>
          <w:rFonts w:eastAsia="仿宋_GB2312"/>
          <w:sz w:val="32"/>
        </w:rPr>
        <w:t>目前国家和四川省都没有非高危行业生产经营单位安全生产管理人员安全生产考核管理规范发布实施。</w:t>
      </w:r>
    </w:p>
    <w:p>
      <w:pPr>
        <w:spacing w:line="580" w:lineRule="exact"/>
        <w:ind w:firstLine="640" w:firstLineChars="200"/>
        <w:rPr>
          <w:rFonts w:eastAsia="仿宋_GB2312"/>
          <w:sz w:val="32"/>
        </w:rPr>
      </w:pPr>
      <w:r>
        <w:rPr>
          <w:rFonts w:eastAsia="仿宋_GB2312"/>
          <w:sz w:val="32"/>
        </w:rPr>
        <w:t>《中华人民共和国安全生产法》明确规定“生产经营单位安全生产管理人员必须具备与本单位所从事的生产经营活动相应的安全生产知识和管理能力。”相应的安全知识及管理能力的考核管理规范是安全生产考核工作向标准化、规范化迈进的标志。</w:t>
      </w:r>
    </w:p>
    <w:p>
      <w:pPr>
        <w:pStyle w:val="13"/>
        <w:snapToGrid w:val="0"/>
        <w:ind w:firstLine="640"/>
        <w:rPr>
          <w:szCs w:val="32"/>
        </w:rPr>
      </w:pPr>
      <w:r>
        <w:rPr>
          <w:szCs w:val="32"/>
        </w:rPr>
        <w:t>为了规范生</w:t>
      </w:r>
      <w:r>
        <w:t>产经营单位安全生产管理人员考核管理</w:t>
      </w:r>
      <w:r>
        <w:rPr>
          <w:szCs w:val="32"/>
        </w:rPr>
        <w:t>工作，目前</w:t>
      </w:r>
      <w:r>
        <w:rPr>
          <w:rFonts w:hint="eastAsia"/>
          <w:szCs w:val="32"/>
        </w:rPr>
        <w:t>北京市、山东省、辽宁省、深圳市、河南省、陕西省分别</w:t>
      </w:r>
      <w:r>
        <w:rPr>
          <w:szCs w:val="32"/>
        </w:rPr>
        <w:t>以地方推荐标准或规范性文件的形式发布了非高危行业生产经营单位</w:t>
      </w:r>
      <w:r>
        <w:t>安全生产管理人员</w:t>
      </w:r>
      <w:r>
        <w:rPr>
          <w:szCs w:val="32"/>
        </w:rPr>
        <w:t>培训大纲及考核标准。</w:t>
      </w:r>
    </w:p>
    <w:p>
      <w:pPr>
        <w:pStyle w:val="13"/>
        <w:snapToGrid w:val="0"/>
        <w:ind w:firstLine="640"/>
        <w:rPr>
          <w:szCs w:val="32"/>
        </w:rPr>
      </w:pPr>
      <w:r>
        <w:rPr>
          <w:rFonts w:hint="eastAsia"/>
          <w:szCs w:val="32"/>
        </w:rPr>
        <w:t>1．</w:t>
      </w:r>
      <w:r>
        <w:rPr>
          <w:szCs w:val="32"/>
        </w:rPr>
        <w:t>地方标准：</w:t>
      </w:r>
    </w:p>
    <w:p>
      <w:pPr>
        <w:pStyle w:val="13"/>
        <w:numPr>
          <w:ilvl w:val="0"/>
          <w:numId w:val="1"/>
        </w:numPr>
        <w:snapToGrid w:val="0"/>
        <w:ind w:firstLine="640"/>
        <w:rPr>
          <w:szCs w:val="32"/>
        </w:rPr>
      </w:pPr>
      <w:r>
        <w:rPr>
          <w:szCs w:val="32"/>
        </w:rPr>
        <w:t>《辽宁省非高危行业生产经营单位主要负责人</w:t>
      </w:r>
      <w:r>
        <w:rPr>
          <w:rFonts w:hint="eastAsia"/>
          <w:szCs w:val="32"/>
        </w:rPr>
        <w:t>和安全生产管理人员</w:t>
      </w:r>
      <w:r>
        <w:rPr>
          <w:szCs w:val="32"/>
        </w:rPr>
        <w:t>培训大纲</w:t>
      </w:r>
      <w:r>
        <w:rPr>
          <w:rFonts w:hint="eastAsia"/>
          <w:szCs w:val="32"/>
        </w:rPr>
        <w:t>和考试大纲</w:t>
      </w:r>
      <w:r>
        <w:rPr>
          <w:szCs w:val="32"/>
        </w:rPr>
        <w:t>》</w:t>
      </w:r>
    </w:p>
    <w:p>
      <w:pPr>
        <w:pStyle w:val="13"/>
        <w:numPr>
          <w:ilvl w:val="0"/>
          <w:numId w:val="1"/>
        </w:numPr>
        <w:snapToGrid w:val="0"/>
        <w:ind w:firstLine="640"/>
        <w:rPr>
          <w:szCs w:val="32"/>
        </w:rPr>
      </w:pPr>
      <w:r>
        <w:rPr>
          <w:szCs w:val="32"/>
        </w:rPr>
        <w:t>《深圳市非高危行业生产经营单位主要负责人/分管安全生产负责人安全生产培训和考核大纲》</w:t>
      </w:r>
    </w:p>
    <w:p>
      <w:pPr>
        <w:pStyle w:val="13"/>
        <w:snapToGrid w:val="0"/>
        <w:ind w:firstLine="640"/>
        <w:rPr>
          <w:szCs w:val="32"/>
        </w:rPr>
      </w:pPr>
      <w:r>
        <w:rPr>
          <w:rFonts w:hint="eastAsia"/>
          <w:szCs w:val="32"/>
        </w:rPr>
        <w:t>2．</w:t>
      </w:r>
      <w:r>
        <w:rPr>
          <w:szCs w:val="32"/>
        </w:rPr>
        <w:t>规范性文件：</w:t>
      </w:r>
    </w:p>
    <w:p>
      <w:pPr>
        <w:pStyle w:val="13"/>
        <w:snapToGrid w:val="0"/>
        <w:ind w:firstLine="640"/>
        <w:rPr>
          <w:szCs w:val="32"/>
        </w:rPr>
      </w:pPr>
      <w:r>
        <w:rPr>
          <w:szCs w:val="32"/>
        </w:rPr>
        <w:t>（1）《河南省应急管理厅关于印发非高危行业生产经营单位主要负责人与安全生产管理人员安全生产培训大纲和考核标准的通知》（豫应急办〔2019〕113号）；</w:t>
      </w:r>
    </w:p>
    <w:p>
      <w:pPr>
        <w:pStyle w:val="13"/>
        <w:snapToGrid w:val="0"/>
        <w:ind w:firstLine="640"/>
        <w:rPr>
          <w:szCs w:val="32"/>
        </w:rPr>
      </w:pPr>
      <w:r>
        <w:rPr>
          <w:szCs w:val="32"/>
        </w:rPr>
        <w:t>（2）《陕西省安全生产监督管理局关于印发非高危行业生产经营单位主要负责人和安全生产管理人员安全生产培训大纲与考核标准的通知》（陕安监管发〔2008〕147号）</w:t>
      </w:r>
    </w:p>
    <w:p>
      <w:pPr>
        <w:pStyle w:val="13"/>
        <w:snapToGrid w:val="0"/>
        <w:ind w:firstLine="640"/>
        <w:rPr>
          <w:szCs w:val="32"/>
        </w:rPr>
      </w:pPr>
      <w:r>
        <w:rPr>
          <w:szCs w:val="32"/>
        </w:rPr>
        <w:t>上述标准、规范性文件均对非高危行业生产经营单位考核管理工作等进行了明确，为提高非高危行业生产经营单安全</w:t>
      </w:r>
      <w:r>
        <w:rPr>
          <w:rFonts w:hint="eastAsia"/>
          <w:szCs w:val="32"/>
        </w:rPr>
        <w:t>生产</w:t>
      </w:r>
      <w:r>
        <w:rPr>
          <w:szCs w:val="32"/>
        </w:rPr>
        <w:t>管理人员安全素质做了有益尝试。</w:t>
      </w:r>
      <w:bookmarkStart w:id="8" w:name="_Toc533087378"/>
    </w:p>
    <w:p>
      <w:pPr>
        <w:pStyle w:val="13"/>
        <w:snapToGrid w:val="0"/>
        <w:ind w:firstLine="640"/>
        <w:outlineLvl w:val="1"/>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（二）我省缺乏针对非高危行业生产经营单位安全生产管理人员的标准体系</w:t>
      </w:r>
    </w:p>
    <w:p>
      <w:pPr>
        <w:pStyle w:val="13"/>
        <w:snapToGrid w:val="0"/>
        <w:ind w:firstLine="640"/>
        <w:rPr>
          <w:rFonts w:hint="eastAsia" w:ascii="黑体" w:hAnsi="黑体" w:eastAsia="黑体" w:cs="黑体"/>
          <w:kern w:val="2"/>
          <w:sz w:val="32"/>
          <w:szCs w:val="32"/>
          <w:lang w:val="en-US" w:eastAsia="zh-CN" w:bidi="ar-SA"/>
        </w:rPr>
      </w:pPr>
      <w:r>
        <w:rPr>
          <w:rFonts w:hint="eastAsia"/>
        </w:rPr>
        <w:t>在充分调研我省非高危行业生产经营单位</w:t>
      </w:r>
      <w:r>
        <w:t>安全</w:t>
      </w:r>
      <w:r>
        <w:rPr>
          <w:rFonts w:hint="eastAsia"/>
        </w:rPr>
        <w:t>生产</w:t>
      </w:r>
      <w:r>
        <w:t>管理人员</w:t>
      </w:r>
      <w:r>
        <w:rPr>
          <w:rFonts w:hint="eastAsia"/>
        </w:rPr>
        <w:t>目前的情况后，发现普遍存在着缺乏安全生产专业知识，不重视安全生产培训等问题。由于目前我省没有相同或相似的规范发布实施，给相关部门的考核和监管工作带来了困难，也给非高危行业生产经</w:t>
      </w:r>
      <w:r>
        <w:rPr>
          <w:rFonts w:hint="eastAsia"/>
          <w:szCs w:val="32"/>
        </w:rPr>
        <w:t>营单位的安全生产埋下了隐患。因此，为了提高非高危行业生产经营单位</w:t>
      </w:r>
      <w:r>
        <w:rPr>
          <w:szCs w:val="32"/>
        </w:rPr>
        <w:t>安全</w:t>
      </w:r>
      <w:r>
        <w:rPr>
          <w:rFonts w:hint="eastAsia"/>
          <w:szCs w:val="32"/>
        </w:rPr>
        <w:t>生产</w:t>
      </w:r>
      <w:r>
        <w:rPr>
          <w:szCs w:val="32"/>
        </w:rPr>
        <w:t>管理人员</w:t>
      </w:r>
      <w:r>
        <w:rPr>
          <w:rFonts w:hint="eastAsia"/>
          <w:szCs w:val="32"/>
        </w:rPr>
        <w:t>的安全素质，防范安全事故，制定非高危行业生产经营单位</w:t>
      </w:r>
      <w:r>
        <w:rPr>
          <w:szCs w:val="32"/>
        </w:rPr>
        <w:t>安全</w:t>
      </w:r>
      <w:r>
        <w:rPr>
          <w:rFonts w:hint="eastAsia"/>
          <w:szCs w:val="32"/>
        </w:rPr>
        <w:t>生产</w:t>
      </w:r>
      <w:r>
        <w:rPr>
          <w:szCs w:val="32"/>
        </w:rPr>
        <w:t>管理人员</w:t>
      </w:r>
      <w:r>
        <w:rPr>
          <w:rFonts w:hint="eastAsia"/>
          <w:szCs w:val="32"/>
        </w:rPr>
        <w:t>安全生产考核管理规范显得尤为重要。</w:t>
      </w:r>
      <w:bookmarkEnd w:id="8"/>
      <w:bookmarkStart w:id="9" w:name="_Toc533087379"/>
    </w:p>
    <w:p>
      <w:pPr>
        <w:spacing w:line="580" w:lineRule="exact"/>
        <w:ind w:firstLine="640" w:firstLineChars="200"/>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二、任务来源</w:t>
      </w:r>
    </w:p>
    <w:p>
      <w:pPr>
        <w:spacing w:line="580" w:lineRule="exact"/>
        <w:ind w:firstLine="640" w:firstLineChars="200"/>
        <w:rPr>
          <w:rFonts w:hint="eastAsia"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规范我省非高危行业生产经营单位安全生产管理人员考核要求，保证学习质量，督促提高安全生产专业知识水平，防范安全事故，根据四川省市场监督管理局《关于下达2019年度地方标准制修订项目立项计划的通知》（川市监函〔201</w:t>
      </w:r>
      <w:r>
        <w:rPr>
          <w:rFonts w:hint="eastAsia" w:eastAsia="仿宋_GB2312" w:cs="Times New Roman"/>
          <w:kern w:val="2"/>
          <w:sz w:val="32"/>
          <w:szCs w:val="32"/>
          <w:lang w:val="en-US" w:eastAsia="zh-CN" w:bidi="ar-SA"/>
        </w:rPr>
        <w:t>9</w:t>
      </w:r>
      <w:r>
        <w:rPr>
          <w:rFonts w:hint="eastAsia" w:ascii="Times New Roman" w:hAnsi="Times New Roman" w:eastAsia="仿宋_GB2312" w:cs="Times New Roman"/>
          <w:kern w:val="2"/>
          <w:sz w:val="32"/>
          <w:szCs w:val="32"/>
          <w:lang w:val="en-US" w:eastAsia="zh-CN" w:bidi="ar-SA"/>
        </w:rPr>
        <w:t>〕</w:t>
      </w:r>
      <w:r>
        <w:rPr>
          <w:rFonts w:hint="eastAsia" w:eastAsia="仿宋_GB2312" w:cs="Times New Roman"/>
          <w:kern w:val="2"/>
          <w:sz w:val="32"/>
          <w:szCs w:val="32"/>
          <w:lang w:val="en-US" w:eastAsia="zh-CN" w:bidi="ar-SA"/>
        </w:rPr>
        <w:t>451</w:t>
      </w:r>
      <w:r>
        <w:rPr>
          <w:rFonts w:hint="eastAsia" w:ascii="Times New Roman" w:hAnsi="Times New Roman" w:eastAsia="仿宋_GB2312" w:cs="Times New Roman"/>
          <w:kern w:val="2"/>
          <w:sz w:val="32"/>
          <w:szCs w:val="32"/>
          <w:lang w:val="en-US" w:eastAsia="zh-CN" w:bidi="ar-SA"/>
        </w:rPr>
        <w:t>号），成立了《</w:t>
      </w:r>
      <w:r>
        <w:rPr>
          <w:rFonts w:hint="eastAsia" w:eastAsia="仿宋_GB2312" w:cs="Times New Roman"/>
          <w:kern w:val="2"/>
          <w:sz w:val="32"/>
          <w:szCs w:val="32"/>
          <w:lang w:val="en-US" w:eastAsia="zh-CN" w:bidi="ar-SA"/>
        </w:rPr>
        <w:t>非高危行业生产经营单位安全生产管理人员安全生产考核管理规范</w:t>
      </w:r>
      <w:r>
        <w:rPr>
          <w:rFonts w:hint="eastAsia" w:ascii="Times New Roman" w:hAnsi="Times New Roman" w:eastAsia="仿宋_GB2312" w:cs="Times New Roman"/>
          <w:kern w:val="2"/>
          <w:sz w:val="32"/>
          <w:szCs w:val="32"/>
          <w:lang w:val="en-US" w:eastAsia="zh-CN" w:bidi="ar-SA"/>
        </w:rPr>
        <w:t>》（以下简称“《</w:t>
      </w:r>
      <w:r>
        <w:rPr>
          <w:rFonts w:hint="eastAsia" w:eastAsia="仿宋_GB2312" w:cs="Times New Roman"/>
          <w:kern w:val="2"/>
          <w:sz w:val="32"/>
          <w:szCs w:val="32"/>
          <w:lang w:val="en-US" w:eastAsia="zh-CN" w:bidi="ar-SA"/>
        </w:rPr>
        <w:t>规范</w:t>
      </w:r>
      <w:r>
        <w:rPr>
          <w:rFonts w:hint="eastAsia" w:ascii="Times New Roman" w:hAnsi="Times New Roman" w:eastAsia="仿宋_GB2312" w:cs="Times New Roman"/>
          <w:kern w:val="2"/>
          <w:sz w:val="32"/>
          <w:szCs w:val="32"/>
          <w:lang w:val="en-US" w:eastAsia="zh-CN" w:bidi="ar-SA"/>
        </w:rPr>
        <w:t>》”）编制组，编制组</w:t>
      </w:r>
      <w:r>
        <w:rPr>
          <w:rFonts w:hint="eastAsia" w:eastAsia="仿宋_GB2312" w:cs="Times New Roman"/>
          <w:kern w:val="2"/>
          <w:sz w:val="32"/>
          <w:szCs w:val="32"/>
          <w:lang w:val="en-US" w:eastAsia="zh-CN" w:bidi="ar-SA"/>
        </w:rPr>
        <w:t>由四川省安全科学技术研究院、成都市城市安全与应急管理研究院、四川省天府新区信息职业学院构成。</w:t>
      </w:r>
    </w:p>
    <w:p>
      <w:pPr>
        <w:spacing w:line="580" w:lineRule="exact"/>
        <w:ind w:firstLine="640" w:firstLineChars="200"/>
        <w:outlineLvl w:val="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、标准编制依据、原则</w:t>
      </w:r>
    </w:p>
    <w:p>
      <w:pPr>
        <w:spacing w:line="580" w:lineRule="exact"/>
        <w:ind w:firstLine="640" w:firstLineChars="200"/>
        <w:outlineLvl w:val="1"/>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（一）编制依据</w:t>
      </w:r>
      <w:bookmarkEnd w:id="9"/>
    </w:p>
    <w:p>
      <w:pPr>
        <w:pStyle w:val="13"/>
        <w:snapToGrid w:val="0"/>
        <w:ind w:firstLine="640"/>
        <w:rPr>
          <w:szCs w:val="32"/>
        </w:rPr>
      </w:pPr>
      <w:bookmarkStart w:id="10" w:name="_Toc533087380"/>
      <w:r>
        <w:rPr>
          <w:rFonts w:hint="eastAsia"/>
          <w:szCs w:val="32"/>
        </w:rPr>
        <w:t>1</w:t>
      </w:r>
      <w:r>
        <w:rPr>
          <w:szCs w:val="32"/>
        </w:rPr>
        <w:t>.</w:t>
      </w:r>
      <w:r>
        <w:rPr>
          <w:rFonts w:hint="eastAsia"/>
          <w:szCs w:val="32"/>
        </w:rPr>
        <w:t>《中华人民共和国安全生产法》第二十四条明确规定“生产经营单位的主要负责人和安全生产管理人员必须具备与本单位所从事的生产经营活动相应的安全生产知识和管理能力</w:t>
      </w:r>
      <w:r>
        <w:rPr>
          <w:szCs w:val="32"/>
        </w:rPr>
        <w:t> </w:t>
      </w:r>
      <w:r>
        <w:rPr>
          <w:rFonts w:hint="eastAsia"/>
          <w:szCs w:val="32"/>
        </w:rPr>
        <w:t>”。</w:t>
      </w:r>
    </w:p>
    <w:p>
      <w:pPr>
        <w:pStyle w:val="13"/>
        <w:snapToGrid w:val="0"/>
        <w:ind w:firstLine="640"/>
        <w:rPr>
          <w:szCs w:val="32"/>
        </w:rPr>
      </w:pPr>
      <w:r>
        <w:rPr>
          <w:rFonts w:hint="eastAsia"/>
          <w:szCs w:val="32"/>
        </w:rPr>
        <w:t>2</w:t>
      </w:r>
      <w:r>
        <w:rPr>
          <w:szCs w:val="32"/>
        </w:rPr>
        <w:t>.</w:t>
      </w:r>
      <w:r>
        <w:rPr>
          <w:rFonts w:hint="eastAsia"/>
          <w:szCs w:val="32"/>
        </w:rPr>
        <w:t>《安全生产培训管理办法》第六条规定“安全培训应当按照规定的安全培训大纲进行”，“除危险物品的生产、经营、储存单位和矿山、金属冶炼单位以外其他生产经营单位的主要负责人、安全生产管理人员及其他从业人员的安全培训大纲，由省级安全生产监督管理部门、省级煤矿安全培训监管机构组织制定”。</w:t>
      </w:r>
    </w:p>
    <w:p>
      <w:pPr>
        <w:pStyle w:val="13"/>
        <w:snapToGrid w:val="0"/>
        <w:ind w:firstLine="640"/>
        <w:rPr>
          <w:szCs w:val="32"/>
        </w:rPr>
      </w:pPr>
      <w:r>
        <w:rPr>
          <w:rFonts w:hint="eastAsia"/>
          <w:szCs w:val="32"/>
        </w:rPr>
        <w:t>3</w:t>
      </w:r>
      <w:r>
        <w:rPr>
          <w:szCs w:val="32"/>
        </w:rPr>
        <w:t>.</w:t>
      </w:r>
      <w:r>
        <w:rPr>
          <w:rFonts w:hint="eastAsia"/>
          <w:szCs w:val="32"/>
        </w:rPr>
        <w:t>《生产经营单位安全培训规定》第六条规定“生产经营单位主要负责人和安全生产管理人员应当接受安全培训，具备与所从事的生产经营活动相适应的安全生产知识和管理能力”；第十条规定“生产经营单位主要负责人和安全生产管理人员的安全培训必须依照安全生产监管监察部门制定的安全培训大纲实施</w:t>
      </w:r>
      <w:r>
        <w:rPr>
          <w:szCs w:val="32"/>
        </w:rPr>
        <w:t> </w:t>
      </w:r>
      <w:r>
        <w:rPr>
          <w:rFonts w:hint="eastAsia"/>
          <w:szCs w:val="32"/>
        </w:rPr>
        <w:t>”。</w:t>
      </w:r>
    </w:p>
    <w:p>
      <w:pPr>
        <w:spacing w:line="580" w:lineRule="exact"/>
        <w:ind w:firstLine="640" w:firstLineChars="200"/>
        <w:outlineLvl w:val="1"/>
        <w:rPr>
          <w:rFonts w:ascii="楷体" w:hAnsi="楷体" w:eastAsia="楷体" w:cs="楷体"/>
          <w:color w:val="000000"/>
          <w:sz w:val="32"/>
          <w:szCs w:val="32"/>
        </w:rPr>
      </w:pPr>
      <w:r>
        <w:rPr>
          <w:rFonts w:hint="eastAsia" w:ascii="楷体" w:hAnsi="楷体" w:eastAsia="楷体" w:cs="楷体"/>
          <w:color w:val="000000"/>
          <w:sz w:val="32"/>
          <w:szCs w:val="32"/>
        </w:rPr>
        <w:t>（二）</w:t>
      </w:r>
      <w:r>
        <w:rPr>
          <w:rFonts w:ascii="楷体" w:hAnsi="楷体" w:eastAsia="楷体" w:cs="楷体"/>
          <w:color w:val="000000"/>
          <w:sz w:val="32"/>
          <w:szCs w:val="32"/>
        </w:rPr>
        <w:t>基本原则</w:t>
      </w:r>
      <w:bookmarkEnd w:id="10"/>
    </w:p>
    <w:p>
      <w:pPr>
        <w:pStyle w:val="13"/>
        <w:snapToGrid w:val="0"/>
        <w:ind w:firstLine="640"/>
        <w:rPr>
          <w:szCs w:val="32"/>
        </w:rPr>
      </w:pPr>
      <w:r>
        <w:rPr>
          <w:rFonts w:hint="eastAsia"/>
          <w:szCs w:val="32"/>
        </w:rPr>
        <w:t>1</w:t>
      </w:r>
      <w:r>
        <w:rPr>
          <w:szCs w:val="32"/>
        </w:rPr>
        <w:t>.以科学发展观为指导，以国家和地方安全生产相关法律、法规、政策和规划为依据，通过制订和实施</w:t>
      </w:r>
      <w:r>
        <w:rPr>
          <w:rFonts w:hint="eastAsia"/>
          <w:szCs w:val="32"/>
        </w:rPr>
        <w:t>规范</w:t>
      </w:r>
      <w:r>
        <w:rPr>
          <w:szCs w:val="32"/>
        </w:rPr>
        <w:t>，</w:t>
      </w:r>
      <w:r>
        <w:rPr>
          <w:rFonts w:hint="eastAsia"/>
          <w:szCs w:val="32"/>
        </w:rPr>
        <w:t>提高非高危行业生产经营单位</w:t>
      </w:r>
      <w:r>
        <w:rPr>
          <w:szCs w:val="32"/>
        </w:rPr>
        <w:t>安全</w:t>
      </w:r>
      <w:r>
        <w:rPr>
          <w:rFonts w:hint="eastAsia"/>
          <w:szCs w:val="32"/>
        </w:rPr>
        <w:t>生产</w:t>
      </w:r>
      <w:r>
        <w:rPr>
          <w:szCs w:val="32"/>
        </w:rPr>
        <w:t>管理人员</w:t>
      </w:r>
      <w:r>
        <w:rPr>
          <w:rFonts w:hint="eastAsia"/>
          <w:szCs w:val="32"/>
        </w:rPr>
        <w:t>的安全素质，防范安全事故</w:t>
      </w:r>
      <w:r>
        <w:rPr>
          <w:szCs w:val="32"/>
        </w:rPr>
        <w:t>。</w:t>
      </w:r>
    </w:p>
    <w:p>
      <w:pPr>
        <w:pStyle w:val="13"/>
        <w:snapToGrid w:val="0"/>
        <w:ind w:firstLine="640"/>
        <w:rPr>
          <w:szCs w:val="32"/>
        </w:rPr>
      </w:pPr>
      <w:r>
        <w:rPr>
          <w:rFonts w:hint="eastAsia"/>
          <w:szCs w:val="32"/>
        </w:rPr>
        <w:t>2</w:t>
      </w:r>
      <w:r>
        <w:rPr>
          <w:szCs w:val="32"/>
        </w:rPr>
        <w:t>.标准具有管理可操作性和技术可行性，能够适应四川省经济社会发展和安全生产的需要，促进</w:t>
      </w:r>
      <w:r>
        <w:rPr>
          <w:rFonts w:hint="eastAsia"/>
          <w:szCs w:val="32"/>
        </w:rPr>
        <w:t>非高危行业生产经营单位</w:t>
      </w:r>
      <w:r>
        <w:rPr>
          <w:szCs w:val="32"/>
        </w:rPr>
        <w:t>安全管理水平提升，促进</w:t>
      </w:r>
      <w:r>
        <w:rPr>
          <w:rFonts w:hint="eastAsia"/>
          <w:szCs w:val="32"/>
        </w:rPr>
        <w:t>行业</w:t>
      </w:r>
      <w:r>
        <w:rPr>
          <w:szCs w:val="32"/>
        </w:rPr>
        <w:t>安全发展。</w:t>
      </w:r>
    </w:p>
    <w:p>
      <w:pPr>
        <w:pStyle w:val="13"/>
        <w:snapToGrid w:val="0"/>
        <w:ind w:firstLine="640"/>
        <w:rPr>
          <w:szCs w:val="32"/>
        </w:rPr>
      </w:pPr>
      <w:r>
        <w:rPr>
          <w:rFonts w:hint="eastAsia"/>
          <w:szCs w:val="32"/>
        </w:rPr>
        <w:t>3</w:t>
      </w:r>
      <w:r>
        <w:rPr>
          <w:szCs w:val="32"/>
        </w:rPr>
        <w:t>.与我国现行的有关安全生产法律、法规相衔接，与安全生产政策性文件相一致。适时根据上级法律、法规、标准、规范的出台、修订进行修订。</w:t>
      </w:r>
      <w:bookmarkStart w:id="11" w:name="_Toc533087381"/>
    </w:p>
    <w:p>
      <w:pPr>
        <w:spacing w:line="580" w:lineRule="exact"/>
        <w:ind w:firstLine="640" w:firstLineChars="200"/>
        <w:outlineLvl w:val="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、编制方法和思路</w:t>
      </w:r>
      <w:bookmarkEnd w:id="11"/>
    </w:p>
    <w:p>
      <w:pPr>
        <w:pStyle w:val="15"/>
        <w:ind w:firstLine="640"/>
        <w:rPr>
          <w:rFonts w:ascii="Times New Roman" w:eastAsia="仿宋_GB2312"/>
          <w:kern w:val="2"/>
          <w:sz w:val="32"/>
          <w:szCs w:val="32"/>
        </w:rPr>
      </w:pPr>
      <w:r>
        <w:rPr>
          <w:rFonts w:ascii="Times New Roman" w:hAnsi="Times New Roman" w:eastAsia="仿宋_GB2312" w:cs="Times New Roman"/>
          <w:color w:val="000000"/>
          <w:kern w:val="2"/>
          <w:sz w:val="32"/>
          <w:szCs w:val="32"/>
          <w:lang w:val="zh-CN" w:eastAsia="zh-CN" w:bidi="ar-SA"/>
        </w:rPr>
        <w:t>《</w:t>
      </w:r>
      <w:r>
        <w:rPr>
          <w:rFonts w:hint="eastAsia" w:ascii="Times New Roman" w:hAnsi="Times New Roman" w:eastAsia="仿宋_GB2312" w:cs="Times New Roman"/>
          <w:color w:val="000000"/>
          <w:kern w:val="2"/>
          <w:sz w:val="32"/>
          <w:szCs w:val="32"/>
          <w:lang w:val="zh-CN" w:eastAsia="zh-CN" w:bidi="ar-SA"/>
        </w:rPr>
        <w:t>规范</w:t>
      </w:r>
      <w:r>
        <w:rPr>
          <w:rFonts w:ascii="Times New Roman" w:hAnsi="Times New Roman" w:eastAsia="仿宋_GB2312" w:cs="Times New Roman"/>
          <w:color w:val="000000"/>
          <w:kern w:val="2"/>
          <w:sz w:val="32"/>
          <w:szCs w:val="32"/>
          <w:lang w:val="zh-CN" w:eastAsia="zh-CN" w:bidi="ar-SA"/>
        </w:rPr>
        <w:t>》</w:t>
      </w:r>
      <w:r>
        <w:rPr>
          <w:rFonts w:ascii="Times New Roman" w:eastAsia="仿宋_GB2312"/>
          <w:kern w:val="2"/>
          <w:sz w:val="32"/>
          <w:szCs w:val="32"/>
        </w:rPr>
        <w:t>规定了四川省境内非高危行业生产经营单位安全</w:t>
      </w:r>
      <w:r>
        <w:rPr>
          <w:rFonts w:hint="eastAsia" w:ascii="Times New Roman" w:eastAsia="仿宋_GB2312"/>
          <w:kern w:val="2"/>
          <w:sz w:val="32"/>
          <w:szCs w:val="32"/>
        </w:rPr>
        <w:t>生产</w:t>
      </w:r>
      <w:r>
        <w:rPr>
          <w:rFonts w:ascii="Times New Roman" w:eastAsia="仿宋_GB2312"/>
          <w:kern w:val="2"/>
          <w:sz w:val="32"/>
          <w:szCs w:val="32"/>
        </w:rPr>
        <w:t>管理人员安全生产考核的对象、目的、要求和具体内容。主要采用调研、专家论证、数据统计相结合的方法</w:t>
      </w:r>
      <w:r>
        <w:rPr>
          <w:rFonts w:hint="eastAsia" w:ascii="Times New Roman" w:eastAsia="仿宋_GB2312"/>
          <w:kern w:val="2"/>
          <w:sz w:val="32"/>
          <w:szCs w:val="32"/>
        </w:rPr>
        <w:t>，</w:t>
      </w:r>
      <w:r>
        <w:rPr>
          <w:rFonts w:ascii="Times New Roman" w:eastAsia="仿宋_GB2312"/>
          <w:kern w:val="2"/>
          <w:sz w:val="32"/>
          <w:szCs w:val="32"/>
        </w:rPr>
        <w:t>具体思路如下：</w:t>
      </w:r>
    </w:p>
    <w:p>
      <w:pPr>
        <w:spacing w:line="58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val="en-US" w:eastAsia="zh-CN"/>
        </w:rPr>
        <w:t>一</w:t>
      </w:r>
      <w:r>
        <w:rPr>
          <w:rFonts w:hint="eastAsia" w:eastAsia="仿宋_GB2312"/>
          <w:sz w:val="32"/>
          <w:szCs w:val="32"/>
        </w:rPr>
        <w:t>）</w:t>
      </w:r>
      <w:r>
        <w:rPr>
          <w:rFonts w:eastAsia="仿宋_GB2312"/>
          <w:sz w:val="32"/>
          <w:szCs w:val="32"/>
        </w:rPr>
        <w:t>广泛收集国内关于安全生产</w:t>
      </w:r>
      <w:r>
        <w:rPr>
          <w:rFonts w:hint="eastAsia" w:eastAsia="仿宋_GB2312"/>
          <w:sz w:val="32"/>
          <w:szCs w:val="32"/>
        </w:rPr>
        <w:t>考核</w:t>
      </w:r>
      <w:r>
        <w:rPr>
          <w:rFonts w:eastAsia="仿宋_GB2312"/>
          <w:sz w:val="32"/>
          <w:szCs w:val="32"/>
        </w:rPr>
        <w:t>的相关法律法规和文件，对全省非高危行业的安全</w:t>
      </w:r>
      <w:r>
        <w:rPr>
          <w:rFonts w:hint="eastAsia" w:eastAsia="仿宋_GB2312"/>
          <w:sz w:val="32"/>
          <w:szCs w:val="32"/>
        </w:rPr>
        <w:t>考核</w:t>
      </w:r>
      <w:r>
        <w:rPr>
          <w:rFonts w:eastAsia="仿宋_GB2312"/>
          <w:sz w:val="32"/>
          <w:szCs w:val="32"/>
        </w:rPr>
        <w:t>工作进行调研。</w:t>
      </w:r>
    </w:p>
    <w:p>
      <w:pPr>
        <w:spacing w:line="58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val="en-US" w:eastAsia="zh-CN"/>
        </w:rPr>
        <w:t>二</w:t>
      </w:r>
      <w:r>
        <w:rPr>
          <w:rFonts w:hint="eastAsia" w:eastAsia="仿宋_GB2312"/>
          <w:sz w:val="32"/>
          <w:szCs w:val="32"/>
        </w:rPr>
        <w:t>）</w:t>
      </w:r>
      <w:r>
        <w:rPr>
          <w:rFonts w:eastAsia="仿宋_GB2312"/>
          <w:sz w:val="32"/>
          <w:szCs w:val="32"/>
        </w:rPr>
        <w:t>通过对收集到关于安全生产</w:t>
      </w:r>
      <w:r>
        <w:rPr>
          <w:rFonts w:hint="eastAsia" w:eastAsia="仿宋_GB2312"/>
          <w:sz w:val="32"/>
          <w:szCs w:val="32"/>
        </w:rPr>
        <w:t>考核</w:t>
      </w:r>
      <w:r>
        <w:rPr>
          <w:rFonts w:eastAsia="仿宋_GB2312"/>
          <w:sz w:val="32"/>
          <w:szCs w:val="32"/>
        </w:rPr>
        <w:t>的相关法律法规和文件进行</w:t>
      </w:r>
      <w:r>
        <w:rPr>
          <w:rFonts w:hint="eastAsia" w:eastAsia="仿宋_GB2312"/>
          <w:sz w:val="32"/>
          <w:szCs w:val="32"/>
        </w:rPr>
        <w:t>整理筛选</w:t>
      </w:r>
      <w:r>
        <w:rPr>
          <w:rFonts w:eastAsia="仿宋_GB2312"/>
          <w:sz w:val="32"/>
          <w:szCs w:val="32"/>
        </w:rPr>
        <w:t>，提取有用信息。</w:t>
      </w:r>
    </w:p>
    <w:p>
      <w:pPr>
        <w:pStyle w:val="13"/>
        <w:snapToGrid w:val="0"/>
        <w:ind w:firstLine="640"/>
        <w:rPr>
          <w:szCs w:val="32"/>
        </w:rPr>
      </w:pPr>
      <w:bookmarkStart w:id="12" w:name="_Toc533087391"/>
      <w:r>
        <w:rPr>
          <w:rFonts w:hint="eastAsia"/>
          <w:szCs w:val="32"/>
        </w:rPr>
        <w:t>（</w:t>
      </w:r>
      <w:r>
        <w:rPr>
          <w:rFonts w:hint="eastAsia"/>
          <w:szCs w:val="32"/>
          <w:lang w:val="en-US" w:eastAsia="zh-CN"/>
        </w:rPr>
        <w:t>三</w:t>
      </w:r>
      <w:r>
        <w:rPr>
          <w:rFonts w:hint="eastAsia"/>
          <w:szCs w:val="32"/>
        </w:rPr>
        <w:t>）</w:t>
      </w:r>
      <w:r>
        <w:rPr>
          <w:szCs w:val="32"/>
        </w:rPr>
        <w:t>开展</w:t>
      </w:r>
      <w:r>
        <w:rPr>
          <w:rFonts w:hint="eastAsia"/>
          <w:szCs w:val="32"/>
        </w:rPr>
        <w:t>行业生产经营单位</w:t>
      </w:r>
      <w:r>
        <w:rPr>
          <w:szCs w:val="32"/>
        </w:rPr>
        <w:t>座谈交流。</w:t>
      </w:r>
    </w:p>
    <w:p>
      <w:pPr>
        <w:pStyle w:val="13"/>
        <w:snapToGrid w:val="0"/>
        <w:ind w:firstLine="640"/>
        <w:rPr>
          <w:szCs w:val="32"/>
        </w:rPr>
      </w:pPr>
      <w:r>
        <w:rPr>
          <w:rFonts w:hint="eastAsia"/>
          <w:szCs w:val="32"/>
        </w:rPr>
        <w:t>（</w:t>
      </w:r>
      <w:r>
        <w:rPr>
          <w:rFonts w:hint="eastAsia"/>
          <w:szCs w:val="32"/>
          <w:lang w:val="en-US" w:eastAsia="zh-CN"/>
        </w:rPr>
        <w:t>四</w:t>
      </w:r>
      <w:r>
        <w:rPr>
          <w:rFonts w:hint="eastAsia"/>
          <w:szCs w:val="32"/>
        </w:rPr>
        <w:t>）</w:t>
      </w:r>
      <w:r>
        <w:rPr>
          <w:szCs w:val="32"/>
        </w:rPr>
        <w:t>组织专家座谈会，进行分析论证。</w:t>
      </w:r>
    </w:p>
    <w:p>
      <w:pPr>
        <w:pStyle w:val="13"/>
        <w:snapToGrid w:val="0"/>
        <w:ind w:firstLine="640"/>
        <w:rPr>
          <w:szCs w:val="32"/>
        </w:rPr>
      </w:pPr>
      <w:r>
        <w:rPr>
          <w:rFonts w:hint="eastAsia"/>
          <w:szCs w:val="32"/>
        </w:rPr>
        <w:t>（</w:t>
      </w:r>
      <w:r>
        <w:rPr>
          <w:rFonts w:hint="eastAsia"/>
          <w:szCs w:val="32"/>
          <w:lang w:val="en-US" w:eastAsia="zh-CN"/>
        </w:rPr>
        <w:t>五</w:t>
      </w:r>
      <w:r>
        <w:rPr>
          <w:rFonts w:hint="eastAsia"/>
          <w:szCs w:val="32"/>
        </w:rPr>
        <w:t>）</w:t>
      </w:r>
      <w:r>
        <w:rPr>
          <w:szCs w:val="32"/>
        </w:rPr>
        <w:t>整理、分析调研资料，确定</w:t>
      </w:r>
      <w:r>
        <w:rPr>
          <w:rFonts w:hint="eastAsia"/>
          <w:szCs w:val="32"/>
        </w:rPr>
        <w:t>《非高危行业生产经营单位</w:t>
      </w:r>
      <w:r>
        <w:rPr>
          <w:szCs w:val="32"/>
        </w:rPr>
        <w:t>安全</w:t>
      </w:r>
      <w:r>
        <w:rPr>
          <w:rFonts w:hint="eastAsia"/>
          <w:szCs w:val="32"/>
        </w:rPr>
        <w:t>生产</w:t>
      </w:r>
      <w:r>
        <w:rPr>
          <w:szCs w:val="32"/>
        </w:rPr>
        <w:t>管理人员</w:t>
      </w:r>
      <w:r>
        <w:rPr>
          <w:rFonts w:hint="eastAsia"/>
          <w:szCs w:val="32"/>
        </w:rPr>
        <w:t>安全生产考核管理规范》</w:t>
      </w:r>
      <w:r>
        <w:rPr>
          <w:szCs w:val="32"/>
        </w:rPr>
        <w:t>提纲。</w:t>
      </w:r>
    </w:p>
    <w:p>
      <w:pPr>
        <w:pStyle w:val="13"/>
        <w:snapToGrid w:val="0"/>
        <w:ind w:firstLine="640"/>
        <w:rPr>
          <w:szCs w:val="32"/>
        </w:rPr>
      </w:pPr>
      <w:r>
        <w:rPr>
          <w:rFonts w:hint="eastAsia"/>
          <w:szCs w:val="32"/>
        </w:rPr>
        <w:t>（</w:t>
      </w:r>
      <w:r>
        <w:rPr>
          <w:rFonts w:hint="eastAsia"/>
          <w:szCs w:val="32"/>
          <w:lang w:val="en-US" w:eastAsia="zh-CN"/>
        </w:rPr>
        <w:t>六</w:t>
      </w:r>
      <w:r>
        <w:rPr>
          <w:rFonts w:hint="eastAsia"/>
          <w:szCs w:val="32"/>
        </w:rPr>
        <w:t>）</w:t>
      </w:r>
      <w:r>
        <w:rPr>
          <w:szCs w:val="32"/>
        </w:rPr>
        <w:t>编写</w:t>
      </w:r>
      <w:r>
        <w:rPr>
          <w:rFonts w:hint="eastAsia"/>
          <w:szCs w:val="32"/>
          <w:lang w:eastAsia="zh-CN"/>
        </w:rPr>
        <w:t>《</w:t>
      </w:r>
      <w:r>
        <w:rPr>
          <w:rFonts w:hint="eastAsia"/>
          <w:szCs w:val="32"/>
        </w:rPr>
        <w:t>规范</w:t>
      </w:r>
      <w:r>
        <w:rPr>
          <w:rFonts w:hint="eastAsia"/>
          <w:szCs w:val="32"/>
          <w:lang w:eastAsia="zh-CN"/>
        </w:rPr>
        <w:t>》</w:t>
      </w:r>
      <w:r>
        <w:rPr>
          <w:szCs w:val="32"/>
        </w:rPr>
        <w:t>和编制说明草案。</w:t>
      </w:r>
    </w:p>
    <w:p>
      <w:pPr>
        <w:pStyle w:val="13"/>
        <w:snapToGrid w:val="0"/>
        <w:ind w:firstLine="640"/>
        <w:rPr>
          <w:szCs w:val="32"/>
        </w:rPr>
      </w:pPr>
      <w:r>
        <w:rPr>
          <w:rFonts w:hint="eastAsia"/>
          <w:szCs w:val="32"/>
        </w:rPr>
        <w:t>（</w:t>
      </w:r>
      <w:r>
        <w:rPr>
          <w:rFonts w:hint="eastAsia"/>
          <w:szCs w:val="32"/>
          <w:lang w:val="en-US" w:eastAsia="zh-CN"/>
        </w:rPr>
        <w:t>七</w:t>
      </w:r>
      <w:r>
        <w:rPr>
          <w:rFonts w:hint="eastAsia"/>
          <w:szCs w:val="32"/>
        </w:rPr>
        <w:t>）组织召开内部评审会，根据专家意见对规范进行修改，形成工作组讨论稿。</w:t>
      </w:r>
    </w:p>
    <w:p>
      <w:pPr>
        <w:pStyle w:val="13"/>
        <w:snapToGrid w:val="0"/>
        <w:ind w:firstLine="640"/>
        <w:rPr>
          <w:szCs w:val="32"/>
        </w:rPr>
      </w:pPr>
      <w:r>
        <w:rPr>
          <w:rFonts w:hint="eastAsia"/>
          <w:szCs w:val="32"/>
        </w:rPr>
        <w:t>（</w:t>
      </w:r>
      <w:r>
        <w:rPr>
          <w:rFonts w:hint="eastAsia"/>
          <w:szCs w:val="32"/>
          <w:lang w:val="en-US" w:eastAsia="zh-CN"/>
        </w:rPr>
        <w:t>八</w:t>
      </w:r>
      <w:r>
        <w:rPr>
          <w:rFonts w:hint="eastAsia"/>
          <w:szCs w:val="32"/>
        </w:rPr>
        <w:t>）征求相关专家意见，形成征求意见稿。</w:t>
      </w:r>
    </w:p>
    <w:p>
      <w:pPr>
        <w:pStyle w:val="13"/>
        <w:snapToGrid w:val="0"/>
        <w:ind w:firstLine="640"/>
        <w:rPr>
          <w:rFonts w:hint="eastAsia"/>
          <w:szCs w:val="32"/>
        </w:rPr>
      </w:pPr>
      <w:r>
        <w:rPr>
          <w:rFonts w:hint="eastAsia"/>
          <w:szCs w:val="32"/>
        </w:rPr>
        <w:t>（</w:t>
      </w:r>
      <w:r>
        <w:rPr>
          <w:rFonts w:hint="eastAsia"/>
          <w:szCs w:val="32"/>
          <w:lang w:val="en-US" w:eastAsia="zh-CN"/>
        </w:rPr>
        <w:t>九</w:t>
      </w:r>
      <w:r>
        <w:rPr>
          <w:rFonts w:hint="eastAsia"/>
          <w:szCs w:val="32"/>
        </w:rPr>
        <w:t>）广泛征求</w:t>
      </w:r>
      <w:r>
        <w:rPr>
          <w:szCs w:val="32"/>
        </w:rPr>
        <w:t>相关行业专家和管理部门意见，根据反馈意见，对编制说明</w:t>
      </w:r>
      <w:r>
        <w:rPr>
          <w:rFonts w:hint="eastAsia"/>
          <w:szCs w:val="32"/>
        </w:rPr>
        <w:t>进行</w:t>
      </w:r>
      <w:r>
        <w:rPr>
          <w:szCs w:val="32"/>
        </w:rPr>
        <w:t>修改、</w:t>
      </w:r>
      <w:r>
        <w:rPr>
          <w:rFonts w:hint="eastAsia"/>
          <w:szCs w:val="32"/>
        </w:rPr>
        <w:t>对征求意见稿进行修改，形成送审稿。</w:t>
      </w:r>
    </w:p>
    <w:p>
      <w:pPr>
        <w:spacing w:line="580" w:lineRule="exact"/>
        <w:ind w:firstLine="640" w:firstLineChars="200"/>
        <w:outlineLvl w:val="0"/>
        <w:rPr>
          <w:rFonts w:ascii="黑体" w:hAnsi="黑体" w:eastAsia="黑体" w:cs="Times New Roman"/>
          <w:color w:val="000000"/>
          <w:sz w:val="32"/>
          <w:szCs w:val="32"/>
        </w:rPr>
      </w:pPr>
      <w:r>
        <w:rPr>
          <w:rFonts w:hint="eastAsia" w:ascii="黑体" w:hAnsi="黑体" w:eastAsia="黑体" w:cs="Times New Roman"/>
          <w:color w:val="000000"/>
          <w:sz w:val="32"/>
          <w:szCs w:val="32"/>
          <w:lang w:eastAsia="zh-CN"/>
        </w:rPr>
        <w:t>五、</w:t>
      </w:r>
      <w:r>
        <w:rPr>
          <w:rFonts w:ascii="黑体" w:hAnsi="黑体" w:eastAsia="黑体" w:cs="Times New Roman"/>
          <w:color w:val="000000"/>
          <w:sz w:val="32"/>
          <w:szCs w:val="32"/>
        </w:rPr>
        <w:t>标准编制工作简况</w:t>
      </w:r>
    </w:p>
    <w:p>
      <w:pPr>
        <w:pStyle w:val="13"/>
        <w:snapToGrid w:val="0"/>
        <w:ind w:firstLine="640"/>
        <w:rPr>
          <w:rFonts w:hint="eastAsia"/>
          <w:szCs w:val="32"/>
          <w:lang w:val="zh-CN" w:eastAsia="zh-CN"/>
        </w:rPr>
      </w:pPr>
      <w:r>
        <w:rPr>
          <w:rFonts w:hint="eastAsia"/>
          <w:szCs w:val="32"/>
          <w:lang w:val="zh-CN" w:eastAsia="zh-CN"/>
        </w:rPr>
        <w:t>为完成本次标准编制，制定进度安排如下：</w:t>
      </w:r>
    </w:p>
    <w:p>
      <w:pPr>
        <w:pStyle w:val="13"/>
        <w:snapToGrid w:val="0"/>
        <w:ind w:firstLine="640"/>
        <w:rPr>
          <w:rFonts w:hint="eastAsia"/>
          <w:szCs w:val="32"/>
          <w:lang w:val="zh-CN" w:eastAsia="zh-CN"/>
        </w:rPr>
      </w:pPr>
      <w:r>
        <w:rPr>
          <w:rFonts w:hint="eastAsia"/>
          <w:szCs w:val="32"/>
          <w:lang w:val="zh-CN" w:eastAsia="zh-CN"/>
        </w:rPr>
        <w:t>201</w:t>
      </w:r>
      <w:r>
        <w:rPr>
          <w:rFonts w:hint="eastAsia"/>
          <w:szCs w:val="32"/>
          <w:lang w:val="en-US" w:eastAsia="zh-CN"/>
        </w:rPr>
        <w:t>9</w:t>
      </w:r>
      <w:r>
        <w:rPr>
          <w:rFonts w:hint="eastAsia"/>
          <w:szCs w:val="32"/>
          <w:lang w:val="zh-CN" w:eastAsia="zh-CN"/>
        </w:rPr>
        <w:t>年</w:t>
      </w:r>
      <w:r>
        <w:rPr>
          <w:rFonts w:hint="eastAsia"/>
          <w:szCs w:val="32"/>
          <w:lang w:val="en-US" w:eastAsia="zh-CN"/>
        </w:rPr>
        <w:t>4</w:t>
      </w:r>
      <w:r>
        <w:rPr>
          <w:rFonts w:hint="eastAsia"/>
          <w:szCs w:val="32"/>
          <w:lang w:val="zh-CN" w:eastAsia="zh-CN"/>
        </w:rPr>
        <w:t>月-6月：完成《规范》大纲编写，收集国</w:t>
      </w:r>
      <w:r>
        <w:rPr>
          <w:rFonts w:eastAsia="仿宋_GB2312"/>
          <w:sz w:val="32"/>
          <w:szCs w:val="32"/>
        </w:rPr>
        <w:t>关于安全生产</w:t>
      </w:r>
      <w:r>
        <w:rPr>
          <w:rFonts w:hint="eastAsia" w:eastAsia="仿宋_GB2312"/>
          <w:sz w:val="32"/>
          <w:szCs w:val="32"/>
        </w:rPr>
        <w:t>考核</w:t>
      </w:r>
      <w:r>
        <w:rPr>
          <w:rFonts w:eastAsia="仿宋_GB2312"/>
          <w:sz w:val="32"/>
          <w:szCs w:val="32"/>
        </w:rPr>
        <w:t>的相关法律法规</w:t>
      </w:r>
      <w:r>
        <w:rPr>
          <w:rFonts w:hint="eastAsia"/>
          <w:szCs w:val="32"/>
          <w:lang w:val="zh-CN" w:eastAsia="zh-CN"/>
        </w:rPr>
        <w:t>、四川省内相关管理办法、其它省份已出台相关标准及管理办法；</w:t>
      </w:r>
    </w:p>
    <w:p>
      <w:pPr>
        <w:pStyle w:val="13"/>
        <w:snapToGrid w:val="0"/>
        <w:ind w:firstLine="640"/>
        <w:rPr>
          <w:rFonts w:hint="eastAsia"/>
          <w:szCs w:val="32"/>
          <w:lang w:val="zh-CN" w:eastAsia="zh-CN"/>
        </w:rPr>
      </w:pPr>
      <w:r>
        <w:rPr>
          <w:rFonts w:hint="eastAsia"/>
          <w:szCs w:val="32"/>
          <w:lang w:val="zh-CN" w:eastAsia="zh-CN"/>
        </w:rPr>
        <w:t>201</w:t>
      </w:r>
      <w:r>
        <w:rPr>
          <w:rFonts w:hint="eastAsia"/>
          <w:szCs w:val="32"/>
          <w:lang w:val="en-US" w:eastAsia="zh-CN"/>
        </w:rPr>
        <w:t>9</w:t>
      </w:r>
      <w:r>
        <w:rPr>
          <w:rFonts w:hint="eastAsia"/>
          <w:szCs w:val="32"/>
          <w:lang w:val="zh-CN" w:eastAsia="zh-CN"/>
        </w:rPr>
        <w:t>年7月-8月：开展省非高危行业生产经营单位调研，选取不同规模、不同类型的企业进行实地座谈与调研，做好记录；</w:t>
      </w:r>
    </w:p>
    <w:p>
      <w:pPr>
        <w:pStyle w:val="13"/>
        <w:snapToGrid w:val="0"/>
        <w:ind w:firstLine="640"/>
        <w:rPr>
          <w:rFonts w:hint="eastAsia"/>
          <w:szCs w:val="32"/>
          <w:lang w:val="zh-CN" w:eastAsia="zh-CN"/>
        </w:rPr>
      </w:pPr>
      <w:r>
        <w:rPr>
          <w:rFonts w:hint="eastAsia"/>
          <w:szCs w:val="32"/>
          <w:lang w:val="zh-CN" w:eastAsia="zh-CN"/>
        </w:rPr>
        <w:t>201</w:t>
      </w:r>
      <w:r>
        <w:rPr>
          <w:rFonts w:hint="eastAsia"/>
          <w:szCs w:val="32"/>
          <w:lang w:val="en-US" w:eastAsia="zh-CN"/>
        </w:rPr>
        <w:t>9</w:t>
      </w:r>
      <w:r>
        <w:rPr>
          <w:rFonts w:hint="eastAsia"/>
          <w:szCs w:val="32"/>
          <w:lang w:val="zh-CN" w:eastAsia="zh-CN"/>
        </w:rPr>
        <w:t>年9月-11月：汇总各项材料，结合四川省本地特色，进行《规范》可研性分析，根据情况修改《规范》大纲</w:t>
      </w:r>
    </w:p>
    <w:p>
      <w:pPr>
        <w:pStyle w:val="13"/>
        <w:snapToGrid w:val="0"/>
        <w:ind w:firstLine="640"/>
        <w:rPr>
          <w:rFonts w:hint="eastAsia"/>
          <w:szCs w:val="32"/>
          <w:lang w:val="zh-CN" w:eastAsia="zh-CN"/>
        </w:rPr>
      </w:pPr>
      <w:r>
        <w:rPr>
          <w:rFonts w:hint="eastAsia"/>
          <w:szCs w:val="32"/>
          <w:lang w:val="zh-CN" w:eastAsia="zh-CN"/>
        </w:rPr>
        <w:t>201</w:t>
      </w:r>
      <w:r>
        <w:rPr>
          <w:rFonts w:hint="eastAsia"/>
          <w:szCs w:val="32"/>
          <w:lang w:val="en-US" w:eastAsia="zh-CN"/>
        </w:rPr>
        <w:t>9</w:t>
      </w:r>
      <w:r>
        <w:rPr>
          <w:rFonts w:hint="eastAsia"/>
          <w:szCs w:val="32"/>
          <w:lang w:val="zh-CN" w:eastAsia="zh-CN"/>
        </w:rPr>
        <w:t>年12月：编制完成《规范》初稿。</w:t>
      </w:r>
    </w:p>
    <w:p>
      <w:pPr>
        <w:pStyle w:val="13"/>
        <w:snapToGrid w:val="0"/>
        <w:ind w:firstLine="640"/>
        <w:rPr>
          <w:rFonts w:hint="eastAsia"/>
          <w:szCs w:val="32"/>
          <w:lang w:val="zh-CN" w:eastAsia="zh-CN"/>
        </w:rPr>
      </w:pPr>
      <w:r>
        <w:rPr>
          <w:rFonts w:hint="eastAsia"/>
          <w:szCs w:val="32"/>
          <w:lang w:val="zh-CN" w:eastAsia="zh-CN"/>
        </w:rPr>
        <w:t>20</w:t>
      </w:r>
      <w:r>
        <w:rPr>
          <w:rFonts w:hint="eastAsia"/>
          <w:szCs w:val="32"/>
          <w:lang w:val="en-US" w:eastAsia="zh-CN"/>
        </w:rPr>
        <w:t>20</w:t>
      </w:r>
      <w:r>
        <w:rPr>
          <w:rFonts w:hint="eastAsia"/>
          <w:szCs w:val="32"/>
          <w:lang w:val="zh-CN" w:eastAsia="zh-CN"/>
        </w:rPr>
        <w:t>年</w:t>
      </w:r>
      <w:r>
        <w:rPr>
          <w:rFonts w:hint="eastAsia"/>
          <w:szCs w:val="32"/>
          <w:lang w:val="en-US" w:eastAsia="zh-CN"/>
        </w:rPr>
        <w:t>1</w:t>
      </w:r>
      <w:r>
        <w:rPr>
          <w:rFonts w:hint="eastAsia"/>
          <w:szCs w:val="32"/>
          <w:lang w:val="zh-CN" w:eastAsia="zh-CN"/>
        </w:rPr>
        <w:t>月-20</w:t>
      </w:r>
      <w:r>
        <w:rPr>
          <w:rFonts w:hint="eastAsia"/>
          <w:szCs w:val="32"/>
          <w:lang w:val="en-US" w:eastAsia="zh-CN"/>
        </w:rPr>
        <w:t>20</w:t>
      </w:r>
      <w:r>
        <w:rPr>
          <w:rFonts w:hint="eastAsia"/>
          <w:szCs w:val="32"/>
          <w:lang w:val="zh-CN" w:eastAsia="zh-CN"/>
        </w:rPr>
        <w:t>年</w:t>
      </w:r>
      <w:r>
        <w:rPr>
          <w:rFonts w:hint="eastAsia"/>
          <w:szCs w:val="32"/>
          <w:lang w:val="en-US" w:eastAsia="zh-CN"/>
        </w:rPr>
        <w:t>3</w:t>
      </w:r>
      <w:r>
        <w:rPr>
          <w:rFonts w:hint="eastAsia"/>
          <w:szCs w:val="32"/>
          <w:lang w:val="zh-CN" w:eastAsia="zh-CN"/>
        </w:rPr>
        <w:t>月：邀请相关专家对《规范》提出建议，对考核大纲的部分内容进行了调整。</w:t>
      </w:r>
    </w:p>
    <w:p>
      <w:pPr>
        <w:pStyle w:val="13"/>
        <w:snapToGrid w:val="0"/>
        <w:ind w:firstLine="640"/>
        <w:rPr>
          <w:rFonts w:hint="eastAsia"/>
          <w:szCs w:val="32"/>
          <w:lang w:val="en-US" w:eastAsia="zh-CN"/>
        </w:rPr>
      </w:pPr>
      <w:r>
        <w:rPr>
          <w:rFonts w:hint="eastAsia"/>
          <w:szCs w:val="32"/>
          <w:lang w:val="en-US" w:eastAsia="zh-CN"/>
        </w:rPr>
        <w:t>2020年4月-6月：编制完成《规范》工作组讨论稿</w:t>
      </w:r>
    </w:p>
    <w:p>
      <w:pPr>
        <w:pStyle w:val="13"/>
        <w:snapToGrid w:val="0"/>
        <w:ind w:firstLine="640"/>
        <w:rPr>
          <w:rFonts w:hint="default"/>
          <w:szCs w:val="32"/>
          <w:lang w:val="en-US" w:eastAsia="zh-CN"/>
        </w:rPr>
      </w:pPr>
      <w:r>
        <w:rPr>
          <w:rFonts w:hint="eastAsia"/>
          <w:szCs w:val="32"/>
          <w:lang w:val="en-US" w:eastAsia="zh-CN"/>
        </w:rPr>
        <w:t>2020年7月：召开内部评审会，提出5条修改意见，采纳3条，未采纳2条，另修改部分表述方式。</w:t>
      </w:r>
    </w:p>
    <w:p>
      <w:pPr>
        <w:pStyle w:val="13"/>
        <w:snapToGrid w:val="0"/>
        <w:ind w:firstLine="640"/>
        <w:rPr>
          <w:rFonts w:hint="eastAsia"/>
          <w:szCs w:val="32"/>
          <w:lang w:val="zh-CN" w:eastAsia="zh-CN"/>
        </w:rPr>
      </w:pPr>
      <w:r>
        <w:rPr>
          <w:rFonts w:hint="eastAsia"/>
          <w:szCs w:val="32"/>
          <w:lang w:val="zh-CN" w:eastAsia="zh-CN"/>
        </w:rPr>
        <w:t>2</w:t>
      </w:r>
      <w:r>
        <w:rPr>
          <w:rFonts w:hint="eastAsia"/>
          <w:szCs w:val="32"/>
          <w:lang w:val="en-US" w:eastAsia="zh-CN"/>
        </w:rPr>
        <w:t>020</w:t>
      </w:r>
      <w:r>
        <w:rPr>
          <w:rFonts w:hint="eastAsia"/>
          <w:szCs w:val="32"/>
          <w:lang w:val="zh-CN" w:eastAsia="zh-CN"/>
        </w:rPr>
        <w:t>年</w:t>
      </w:r>
      <w:r>
        <w:rPr>
          <w:rFonts w:hint="eastAsia"/>
          <w:szCs w:val="32"/>
          <w:lang w:val="en-US" w:eastAsia="zh-CN"/>
        </w:rPr>
        <w:t>8月</w:t>
      </w:r>
      <w:r>
        <w:rPr>
          <w:rFonts w:hint="eastAsia"/>
          <w:szCs w:val="32"/>
          <w:lang w:val="zh-CN" w:eastAsia="zh-CN"/>
        </w:rPr>
        <w:t>：经四川省机械研究设计院对标准进行查新，目前未见与《规范》名称和主要规范性要素相似的现行有效的相关国家标准、行业标准、四川省地方标准。</w:t>
      </w:r>
    </w:p>
    <w:p>
      <w:pPr>
        <w:pStyle w:val="13"/>
        <w:snapToGrid w:val="0"/>
        <w:ind w:firstLine="640"/>
        <w:rPr>
          <w:rFonts w:hint="eastAsia"/>
          <w:szCs w:val="32"/>
          <w:lang w:val="en-US" w:eastAsia="zh-CN"/>
        </w:rPr>
      </w:pPr>
      <w:r>
        <w:rPr>
          <w:rFonts w:hint="eastAsia"/>
          <w:szCs w:val="32"/>
          <w:lang w:val="zh-CN" w:eastAsia="zh-CN"/>
        </w:rPr>
        <w:t>2019年9月：</w:t>
      </w:r>
      <w:r>
        <w:rPr>
          <w:rFonts w:hint="eastAsia"/>
          <w:szCs w:val="32"/>
          <w:lang w:val="en-US" w:eastAsia="zh-CN"/>
        </w:rPr>
        <w:t>编制完成《规范》征求意见稿</w:t>
      </w:r>
    </w:p>
    <w:p>
      <w:pPr>
        <w:spacing w:line="580" w:lineRule="exact"/>
        <w:ind w:firstLine="640" w:firstLineChars="200"/>
        <w:outlineLvl w:val="0"/>
        <w:rPr>
          <w:rFonts w:ascii="黑体" w:hAnsi="黑体" w:eastAsia="黑体" w:cs="Times New Roman"/>
          <w:color w:val="000000"/>
          <w:sz w:val="32"/>
          <w:szCs w:val="32"/>
        </w:rPr>
      </w:pPr>
      <w:r>
        <w:rPr>
          <w:rFonts w:hint="eastAsia" w:ascii="黑体" w:hAnsi="黑体" w:eastAsia="黑体" w:cs="Times New Roman"/>
          <w:color w:val="000000"/>
          <w:sz w:val="32"/>
          <w:szCs w:val="32"/>
          <w:lang w:eastAsia="zh-CN"/>
        </w:rPr>
        <w:t>六</w:t>
      </w:r>
      <w:r>
        <w:rPr>
          <w:rFonts w:ascii="黑体" w:hAnsi="黑体" w:eastAsia="黑体" w:cs="Times New Roman"/>
          <w:color w:val="000000"/>
          <w:sz w:val="32"/>
          <w:szCs w:val="32"/>
        </w:rPr>
        <w:t>、标准主要技术内容</w:t>
      </w:r>
    </w:p>
    <w:p>
      <w:pPr>
        <w:adjustRightInd w:val="0"/>
        <w:snapToGrid w:val="0"/>
        <w:spacing w:line="580" w:lineRule="exact"/>
        <w:ind w:firstLine="640" w:firstLineChars="200"/>
        <w:outlineLvl w:val="1"/>
        <w:rPr>
          <w:rFonts w:hint="eastAsia" w:ascii="楷体_GB2312" w:hAnsi="楷体_GB2312" w:eastAsia="楷体_GB2312" w:cs="楷体_GB2312"/>
          <w:color w:val="000000"/>
          <w:sz w:val="32"/>
          <w:szCs w:val="32"/>
        </w:rPr>
      </w:pPr>
      <w:bookmarkStart w:id="13" w:name="_Toc533087389"/>
      <w:r>
        <w:rPr>
          <w:rFonts w:hint="eastAsia" w:ascii="楷体_GB2312" w:hAnsi="楷体_GB2312" w:eastAsia="楷体_GB2312" w:cs="楷体_GB2312"/>
          <w:color w:val="000000"/>
          <w:sz w:val="32"/>
          <w:szCs w:val="32"/>
        </w:rPr>
        <w:t>（一）标准内容框架</w:t>
      </w:r>
      <w:bookmarkEnd w:id="13"/>
    </w:p>
    <w:p>
      <w:pPr>
        <w:pStyle w:val="13"/>
        <w:adjustRightInd w:val="0"/>
        <w:snapToGrid w:val="0"/>
        <w:ind w:firstLine="640"/>
        <w:rPr>
          <w:color w:val="000000"/>
          <w:szCs w:val="32"/>
        </w:rPr>
      </w:pPr>
      <w:r>
        <w:rPr>
          <w:color w:val="000000"/>
          <w:szCs w:val="32"/>
        </w:rPr>
        <w:t>包括范围，规范性引用文件，术语</w:t>
      </w:r>
      <w:r>
        <w:rPr>
          <w:rFonts w:hint="eastAsia"/>
          <w:color w:val="000000"/>
          <w:szCs w:val="32"/>
          <w:lang w:eastAsia="zh-CN"/>
        </w:rPr>
        <w:t>和</w:t>
      </w:r>
      <w:r>
        <w:rPr>
          <w:color w:val="000000"/>
          <w:szCs w:val="32"/>
        </w:rPr>
        <w:t>定义</w:t>
      </w:r>
      <w:r>
        <w:rPr>
          <w:rFonts w:hint="eastAsia"/>
          <w:color w:val="000000"/>
          <w:szCs w:val="32"/>
        </w:rPr>
        <w:t>，</w:t>
      </w:r>
      <w:r>
        <w:rPr>
          <w:rFonts w:hint="eastAsia"/>
          <w:color w:val="000000"/>
          <w:szCs w:val="32"/>
          <w:lang w:eastAsia="zh-CN"/>
        </w:rPr>
        <w:t>考核大纲</w:t>
      </w:r>
      <w:r>
        <w:rPr>
          <w:color w:val="000000"/>
          <w:szCs w:val="32"/>
        </w:rPr>
        <w:t>，</w:t>
      </w:r>
      <w:r>
        <w:rPr>
          <w:rFonts w:hint="eastAsia"/>
          <w:color w:val="000000"/>
          <w:szCs w:val="32"/>
          <w:lang w:eastAsia="zh-CN"/>
        </w:rPr>
        <w:t>考核深度要求和考核方式</w:t>
      </w:r>
      <w:r>
        <w:rPr>
          <w:rFonts w:hint="eastAsia"/>
          <w:color w:val="000000"/>
          <w:szCs w:val="32"/>
          <w:lang w:val="en-US" w:eastAsia="zh-CN"/>
        </w:rPr>
        <w:t>6</w:t>
      </w:r>
      <w:r>
        <w:rPr>
          <w:rFonts w:hint="eastAsia"/>
          <w:color w:val="000000"/>
          <w:szCs w:val="32"/>
        </w:rPr>
        <w:t>个部分内容。</w:t>
      </w:r>
    </w:p>
    <w:p>
      <w:pPr>
        <w:adjustRightInd w:val="0"/>
        <w:snapToGrid w:val="0"/>
        <w:spacing w:line="580" w:lineRule="exact"/>
        <w:ind w:firstLine="640" w:firstLineChars="200"/>
        <w:outlineLvl w:val="1"/>
        <w:rPr>
          <w:rFonts w:hint="eastAsia" w:ascii="楷体_GB2312" w:hAnsi="楷体_GB2312" w:eastAsia="楷体_GB2312" w:cs="楷体_GB2312"/>
          <w:color w:val="000000"/>
          <w:sz w:val="32"/>
          <w:szCs w:val="32"/>
        </w:rPr>
      </w:pPr>
      <w:bookmarkStart w:id="14" w:name="_Toc533087390"/>
      <w:r>
        <w:rPr>
          <w:rFonts w:hint="eastAsia" w:ascii="楷体_GB2312" w:hAnsi="楷体_GB2312" w:eastAsia="楷体_GB2312" w:cs="楷体_GB2312"/>
          <w:color w:val="000000"/>
          <w:sz w:val="32"/>
          <w:szCs w:val="32"/>
        </w:rPr>
        <w:t>（二）主要编制内容</w:t>
      </w:r>
      <w:bookmarkEnd w:id="14"/>
    </w:p>
    <w:p>
      <w:pPr>
        <w:adjustRightInd w:val="0"/>
        <w:snapToGrid w:val="0"/>
        <w:spacing w:line="580" w:lineRule="exact"/>
        <w:ind w:firstLine="640" w:firstLineChars="200"/>
        <w:rPr>
          <w:rFonts w:hint="eastAsia" w:ascii="Times New Roman" w:hAnsi="Times New Roman" w:eastAsia="仿宋_GB2312" w:cs="Times New Roman"/>
          <w:color w:val="000000"/>
          <w:kern w:val="2"/>
          <w:sz w:val="32"/>
          <w:szCs w:val="32"/>
          <w:lang w:val="zh-CN" w:eastAsia="zh-CN" w:bidi="ar-SA"/>
        </w:rPr>
      </w:pPr>
      <w:r>
        <w:rPr>
          <w:rFonts w:ascii="Times New Roman" w:hAnsi="Times New Roman" w:eastAsia="仿宋_GB2312" w:cs="Times New Roman"/>
          <w:color w:val="000000"/>
          <w:kern w:val="2"/>
          <w:sz w:val="32"/>
          <w:szCs w:val="32"/>
          <w:lang w:val="zh-CN" w:eastAsia="zh-CN" w:bidi="ar-SA"/>
        </w:rPr>
        <w:t>《</w:t>
      </w:r>
      <w:r>
        <w:rPr>
          <w:rFonts w:hint="eastAsia" w:ascii="Times New Roman" w:hAnsi="Times New Roman" w:eastAsia="仿宋_GB2312" w:cs="Times New Roman"/>
          <w:color w:val="000000"/>
          <w:kern w:val="2"/>
          <w:sz w:val="32"/>
          <w:szCs w:val="32"/>
          <w:lang w:val="zh-CN" w:eastAsia="zh-CN" w:bidi="ar-SA"/>
        </w:rPr>
        <w:t>规范</w:t>
      </w:r>
      <w:r>
        <w:rPr>
          <w:rFonts w:ascii="Times New Roman" w:hAnsi="Times New Roman" w:eastAsia="仿宋_GB2312" w:cs="Times New Roman"/>
          <w:color w:val="000000"/>
          <w:kern w:val="2"/>
          <w:sz w:val="32"/>
          <w:szCs w:val="32"/>
          <w:lang w:val="zh-CN" w:eastAsia="zh-CN" w:bidi="ar-SA"/>
        </w:rPr>
        <w:t>》编制的目的是</w:t>
      </w:r>
      <w:r>
        <w:rPr>
          <w:rFonts w:hint="eastAsia" w:ascii="Times New Roman" w:hAnsi="Times New Roman" w:eastAsia="仿宋_GB2312" w:cs="Times New Roman"/>
          <w:color w:val="000000"/>
          <w:kern w:val="2"/>
          <w:sz w:val="32"/>
          <w:szCs w:val="32"/>
          <w:lang w:val="en-US" w:eastAsia="zh-CN" w:bidi="ar-SA"/>
        </w:rPr>
        <w:t>提高非高危行业生产经营单位</w:t>
      </w:r>
      <w:r>
        <w:rPr>
          <w:rFonts w:ascii="Times New Roman" w:hAnsi="Times New Roman" w:eastAsia="仿宋_GB2312" w:cs="Times New Roman"/>
          <w:color w:val="000000"/>
          <w:kern w:val="2"/>
          <w:sz w:val="32"/>
          <w:szCs w:val="32"/>
          <w:lang w:val="en-US" w:eastAsia="zh-CN" w:bidi="ar-SA"/>
        </w:rPr>
        <w:t>安全</w:t>
      </w:r>
      <w:r>
        <w:rPr>
          <w:rFonts w:hint="eastAsia" w:ascii="Times New Roman" w:hAnsi="Times New Roman" w:eastAsia="仿宋_GB2312" w:cs="Times New Roman"/>
          <w:color w:val="000000"/>
          <w:kern w:val="2"/>
          <w:sz w:val="32"/>
          <w:szCs w:val="32"/>
          <w:lang w:val="en-US" w:eastAsia="zh-CN" w:bidi="ar-SA"/>
        </w:rPr>
        <w:t>生产</w:t>
      </w:r>
      <w:r>
        <w:rPr>
          <w:rFonts w:ascii="Times New Roman" w:hAnsi="Times New Roman" w:eastAsia="仿宋_GB2312" w:cs="Times New Roman"/>
          <w:color w:val="000000"/>
          <w:kern w:val="2"/>
          <w:sz w:val="32"/>
          <w:szCs w:val="32"/>
          <w:lang w:val="en-US" w:eastAsia="zh-CN" w:bidi="ar-SA"/>
        </w:rPr>
        <w:t>管理人员</w:t>
      </w:r>
      <w:r>
        <w:rPr>
          <w:rFonts w:hint="eastAsia" w:ascii="Times New Roman" w:hAnsi="Times New Roman" w:eastAsia="仿宋_GB2312" w:cs="Times New Roman"/>
          <w:color w:val="000000"/>
          <w:kern w:val="2"/>
          <w:sz w:val="32"/>
          <w:szCs w:val="32"/>
          <w:lang w:val="en-US" w:eastAsia="zh-CN" w:bidi="ar-SA"/>
        </w:rPr>
        <w:t>的安全素质，防范安全事故</w:t>
      </w:r>
      <w:r>
        <w:rPr>
          <w:rFonts w:ascii="Times New Roman" w:hAnsi="Times New Roman" w:eastAsia="仿宋_GB2312" w:cs="Times New Roman"/>
          <w:color w:val="000000"/>
          <w:kern w:val="2"/>
          <w:sz w:val="32"/>
          <w:szCs w:val="32"/>
          <w:lang w:val="zh-CN" w:eastAsia="zh-CN" w:bidi="ar-SA"/>
        </w:rPr>
        <w:t>。基本确定《</w:t>
      </w:r>
      <w:r>
        <w:rPr>
          <w:rFonts w:hint="eastAsia" w:ascii="Times New Roman" w:hAnsi="Times New Roman" w:eastAsia="仿宋_GB2312" w:cs="Times New Roman"/>
          <w:color w:val="000000"/>
          <w:kern w:val="2"/>
          <w:sz w:val="32"/>
          <w:szCs w:val="32"/>
          <w:lang w:val="zh-CN" w:eastAsia="zh-CN" w:bidi="ar-SA"/>
        </w:rPr>
        <w:t>规范</w:t>
      </w:r>
      <w:r>
        <w:rPr>
          <w:rFonts w:ascii="Times New Roman" w:hAnsi="Times New Roman" w:eastAsia="仿宋_GB2312" w:cs="Times New Roman"/>
          <w:color w:val="000000"/>
          <w:kern w:val="2"/>
          <w:sz w:val="32"/>
          <w:szCs w:val="32"/>
          <w:lang w:val="zh-CN" w:eastAsia="zh-CN" w:bidi="ar-SA"/>
        </w:rPr>
        <w:t>》针对对象是我省</w:t>
      </w:r>
      <w:r>
        <w:rPr>
          <w:rFonts w:hint="eastAsia" w:ascii="Times New Roman" w:hAnsi="Times New Roman" w:eastAsia="仿宋_GB2312" w:cs="Times New Roman"/>
          <w:color w:val="000000"/>
          <w:kern w:val="2"/>
          <w:sz w:val="32"/>
          <w:szCs w:val="32"/>
          <w:lang w:val="zh-CN" w:eastAsia="zh-CN" w:bidi="ar-SA"/>
        </w:rPr>
        <w:t>非高危行业生产经营单位安全生产管理人员</w:t>
      </w:r>
      <w:r>
        <w:rPr>
          <w:rFonts w:ascii="Times New Roman" w:hAnsi="Times New Roman" w:eastAsia="仿宋_GB2312" w:cs="Times New Roman"/>
          <w:color w:val="000000"/>
          <w:kern w:val="2"/>
          <w:sz w:val="32"/>
          <w:szCs w:val="32"/>
          <w:lang w:val="zh-CN" w:eastAsia="zh-CN" w:bidi="ar-SA"/>
        </w:rPr>
        <w:t>，效果是提升</w:t>
      </w:r>
      <w:r>
        <w:rPr>
          <w:rFonts w:hint="eastAsia" w:eastAsia="仿宋_GB2312" w:cs="Times New Roman"/>
          <w:color w:val="000000"/>
          <w:kern w:val="2"/>
          <w:sz w:val="32"/>
          <w:szCs w:val="32"/>
          <w:lang w:val="en-US" w:eastAsia="zh-CN" w:bidi="ar-SA"/>
        </w:rPr>
        <w:t>其</w:t>
      </w:r>
      <w:r>
        <w:rPr>
          <w:rFonts w:hint="eastAsia" w:ascii="Times New Roman" w:hAnsi="Times New Roman" w:eastAsia="仿宋_GB2312" w:cs="Times New Roman"/>
          <w:color w:val="000000"/>
          <w:kern w:val="2"/>
          <w:sz w:val="32"/>
          <w:szCs w:val="32"/>
          <w:lang w:val="en-US" w:eastAsia="zh-CN" w:bidi="ar-SA"/>
        </w:rPr>
        <w:t>安全素质，防范安全事故</w:t>
      </w:r>
      <w:r>
        <w:rPr>
          <w:rFonts w:hint="eastAsia" w:ascii="Times New Roman" w:hAnsi="Times New Roman" w:eastAsia="仿宋_GB2312" w:cs="Times New Roman"/>
          <w:color w:val="000000"/>
          <w:kern w:val="2"/>
          <w:sz w:val="32"/>
          <w:szCs w:val="32"/>
          <w:lang w:val="zh-CN" w:eastAsia="zh-CN" w:bidi="ar-SA"/>
        </w:rPr>
        <w:t>。</w:t>
      </w:r>
    </w:p>
    <w:p>
      <w:pPr>
        <w:adjustRightInd w:val="0"/>
        <w:snapToGrid w:val="0"/>
        <w:spacing w:line="580" w:lineRule="exact"/>
        <w:ind w:firstLine="640" w:firstLineChars="200"/>
        <w:rPr>
          <w:rFonts w:ascii="Times New Roman" w:hAnsi="Times New Roman" w:eastAsia="仿宋_GB2312" w:cs="Times New Roman"/>
          <w:color w:val="000000"/>
          <w:kern w:val="2"/>
          <w:sz w:val="32"/>
          <w:szCs w:val="32"/>
          <w:lang w:val="en-US" w:eastAsia="zh-CN" w:bidi="ar-SA"/>
        </w:rPr>
      </w:pPr>
      <w:r>
        <w:rPr>
          <w:rFonts w:ascii="Times New Roman" w:hAnsi="Times New Roman" w:eastAsia="仿宋_GB2312" w:cs="Times New Roman"/>
          <w:color w:val="000000"/>
          <w:kern w:val="2"/>
          <w:sz w:val="32"/>
          <w:szCs w:val="32"/>
          <w:lang w:val="en-US" w:eastAsia="zh-CN" w:bidi="ar-SA"/>
        </w:rPr>
        <w:t>为提高《</w:t>
      </w:r>
      <w:r>
        <w:rPr>
          <w:rFonts w:hint="eastAsia" w:ascii="Times New Roman" w:hAnsi="Times New Roman" w:eastAsia="仿宋_GB2312" w:cs="Times New Roman"/>
          <w:color w:val="000000"/>
          <w:kern w:val="2"/>
          <w:sz w:val="32"/>
          <w:szCs w:val="32"/>
          <w:lang w:val="en-US" w:eastAsia="zh-CN" w:bidi="ar-SA"/>
        </w:rPr>
        <w:t>规范</w:t>
      </w:r>
      <w:r>
        <w:rPr>
          <w:rFonts w:ascii="Times New Roman" w:hAnsi="Times New Roman" w:eastAsia="仿宋_GB2312" w:cs="Times New Roman"/>
          <w:color w:val="000000"/>
          <w:kern w:val="2"/>
          <w:sz w:val="32"/>
          <w:szCs w:val="32"/>
          <w:lang w:val="en-US" w:eastAsia="zh-CN" w:bidi="ar-SA"/>
        </w:rPr>
        <w:t>》的实际操作性，先期工作要以实地调研为基础，针对</w:t>
      </w:r>
      <w:r>
        <w:rPr>
          <w:rFonts w:hint="eastAsia" w:eastAsia="仿宋_GB2312" w:cs="Times New Roman"/>
          <w:color w:val="000000"/>
          <w:kern w:val="2"/>
          <w:sz w:val="32"/>
          <w:szCs w:val="32"/>
          <w:lang w:val="en-US" w:eastAsia="zh-CN" w:bidi="ar-SA"/>
        </w:rPr>
        <w:t>非高危行业生产经营单位</w:t>
      </w:r>
      <w:r>
        <w:rPr>
          <w:rFonts w:ascii="Times New Roman" w:hAnsi="Times New Roman" w:eastAsia="仿宋_GB2312" w:cs="Times New Roman"/>
          <w:color w:val="000000"/>
          <w:kern w:val="2"/>
          <w:sz w:val="32"/>
          <w:szCs w:val="32"/>
          <w:lang w:val="en-US" w:eastAsia="zh-CN" w:bidi="ar-SA"/>
        </w:rPr>
        <w:t>，开展座谈会，一是从问题入手进行讨论，找出问题，听取建议；二是学习企业自身制定的一些先进标准。除此之外，还要学习国外的先进管理方法。最后综合现有问题、现有企业先进标准、国外先进经验、专业技术人员的建议，结合四川特色（地理环境、企业经济状况、规模大小、组织体系架构等）和实际情况，开展可行性论证，编制标准送审稿。</w:t>
      </w:r>
    </w:p>
    <w:p>
      <w:pPr>
        <w:adjustRightInd w:val="0"/>
        <w:snapToGrid w:val="0"/>
        <w:spacing w:line="580" w:lineRule="exact"/>
        <w:ind w:firstLine="640" w:firstLineChars="200"/>
        <w:outlineLvl w:val="1"/>
        <w:rPr>
          <w:rFonts w:hint="eastAsia" w:ascii="楷体_GB2312" w:hAnsi="楷体_GB2312" w:eastAsia="楷体_GB2312" w:cs="楷体_GB2312"/>
          <w:color w:val="000000"/>
          <w:sz w:val="32"/>
          <w:szCs w:val="32"/>
        </w:rPr>
      </w:pPr>
      <w:bookmarkStart w:id="15" w:name="_Toc533169210"/>
      <w:r>
        <w:rPr>
          <w:rFonts w:hint="eastAsia" w:ascii="楷体_GB2312" w:hAnsi="楷体_GB2312" w:eastAsia="楷体_GB2312" w:cs="楷体_GB2312"/>
          <w:color w:val="000000"/>
          <w:sz w:val="32"/>
          <w:szCs w:val="32"/>
        </w:rPr>
        <w:t>（三）适用范围</w:t>
      </w:r>
      <w:bookmarkEnd w:id="15"/>
    </w:p>
    <w:p>
      <w:pPr>
        <w:adjustRightInd w:val="0"/>
        <w:snapToGrid w:val="0"/>
        <w:spacing w:line="580" w:lineRule="exact"/>
        <w:ind w:firstLine="640" w:firstLineChars="200"/>
        <w:rPr>
          <w:rFonts w:hint="eastAsia" w:ascii="Times New Roman" w:hAnsi="Times New Roman" w:eastAsia="仿宋_GB2312" w:cs="Times New Roman"/>
          <w:color w:val="000000"/>
          <w:kern w:val="2"/>
          <w:sz w:val="32"/>
          <w:szCs w:val="32"/>
          <w:lang w:val="en-US" w:eastAsia="zh-CN" w:bidi="ar-SA"/>
        </w:rPr>
      </w:pPr>
      <w:r>
        <w:rPr>
          <w:rFonts w:ascii="Times New Roman" w:hAnsi="Times New Roman" w:eastAsia="仿宋_GB2312" w:cs="Times New Roman"/>
          <w:color w:val="000000"/>
          <w:kern w:val="2"/>
          <w:sz w:val="32"/>
          <w:szCs w:val="32"/>
          <w:lang w:val="zh-CN" w:eastAsia="zh-CN" w:bidi="ar-SA"/>
        </w:rPr>
        <w:t>《</w:t>
      </w:r>
      <w:r>
        <w:rPr>
          <w:rFonts w:hint="eastAsia" w:ascii="Times New Roman" w:hAnsi="Times New Roman" w:eastAsia="仿宋_GB2312" w:cs="Times New Roman"/>
          <w:color w:val="000000"/>
          <w:kern w:val="2"/>
          <w:sz w:val="32"/>
          <w:szCs w:val="32"/>
          <w:lang w:val="zh-CN" w:eastAsia="zh-CN" w:bidi="ar-SA"/>
        </w:rPr>
        <w:t>规范</w:t>
      </w:r>
      <w:r>
        <w:rPr>
          <w:rFonts w:ascii="Times New Roman" w:hAnsi="Times New Roman"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en-US" w:eastAsia="zh-CN" w:bidi="ar-SA"/>
        </w:rPr>
        <w:t>规定了四川省</w:t>
      </w:r>
      <w:r>
        <w:rPr>
          <w:rFonts w:hint="eastAsia" w:eastAsia="仿宋_GB2312" w:cs="Times New Roman"/>
          <w:color w:val="000000"/>
          <w:kern w:val="2"/>
          <w:sz w:val="32"/>
          <w:szCs w:val="32"/>
          <w:lang w:val="en-US" w:eastAsia="zh-CN" w:bidi="ar-SA"/>
        </w:rPr>
        <w:t>非高危</w:t>
      </w:r>
      <w:r>
        <w:rPr>
          <w:rFonts w:hint="eastAsia" w:ascii="Times New Roman" w:hAnsi="Times New Roman" w:eastAsia="仿宋_GB2312" w:cs="Times New Roman"/>
          <w:color w:val="000000"/>
          <w:kern w:val="2"/>
          <w:sz w:val="32"/>
          <w:szCs w:val="32"/>
          <w:lang w:val="en-US" w:eastAsia="zh-CN" w:bidi="ar-SA"/>
        </w:rPr>
        <w:t>行业生产经营单位</w:t>
      </w:r>
      <w:r>
        <w:rPr>
          <w:rFonts w:ascii="Times New Roman" w:hAnsi="Times New Roman" w:eastAsia="仿宋_GB2312" w:cs="Times New Roman"/>
          <w:color w:val="000000"/>
          <w:kern w:val="2"/>
          <w:sz w:val="32"/>
          <w:szCs w:val="32"/>
          <w:lang w:val="en-US" w:eastAsia="zh-CN" w:bidi="ar-SA"/>
        </w:rPr>
        <w:t>安全</w:t>
      </w:r>
      <w:r>
        <w:rPr>
          <w:rFonts w:hint="eastAsia" w:ascii="Times New Roman" w:hAnsi="Times New Roman" w:eastAsia="仿宋_GB2312" w:cs="Times New Roman"/>
          <w:color w:val="000000"/>
          <w:kern w:val="2"/>
          <w:sz w:val="32"/>
          <w:szCs w:val="32"/>
          <w:lang w:val="en-US" w:eastAsia="zh-CN" w:bidi="ar-SA"/>
        </w:rPr>
        <w:t>生产</w:t>
      </w:r>
      <w:r>
        <w:rPr>
          <w:rFonts w:ascii="Times New Roman" w:hAnsi="Times New Roman" w:eastAsia="仿宋_GB2312" w:cs="Times New Roman"/>
          <w:color w:val="000000"/>
          <w:kern w:val="2"/>
          <w:sz w:val="32"/>
          <w:szCs w:val="32"/>
          <w:lang w:val="en-US" w:eastAsia="zh-CN" w:bidi="ar-SA"/>
        </w:rPr>
        <w:t>管理</w:t>
      </w:r>
      <w:r>
        <w:rPr>
          <w:rFonts w:hint="eastAsia" w:ascii="Times New Roman" w:hAnsi="Times New Roman" w:eastAsia="仿宋_GB2312" w:cs="Times New Roman"/>
          <w:color w:val="000000"/>
          <w:kern w:val="2"/>
          <w:sz w:val="32"/>
          <w:szCs w:val="32"/>
          <w:lang w:val="en-US" w:eastAsia="zh-CN" w:bidi="ar-SA"/>
        </w:rPr>
        <w:t>人员考核大纲，考核深度要求和考核方式等。</w:t>
      </w:r>
    </w:p>
    <w:p>
      <w:pPr>
        <w:adjustRightInd w:val="0"/>
        <w:snapToGrid w:val="0"/>
        <w:spacing w:line="580" w:lineRule="exact"/>
        <w:ind w:firstLine="640" w:firstLineChars="200"/>
        <w:rPr>
          <w:rFonts w:ascii="Times New Roman" w:hAnsi="Times New Roman" w:eastAsia="仿宋_GB2312" w:cs="Times New Roman"/>
          <w:color w:val="000000"/>
          <w:kern w:val="2"/>
          <w:sz w:val="32"/>
          <w:szCs w:val="32"/>
          <w:lang w:val="en-US" w:eastAsia="zh-CN" w:bidi="ar-SA"/>
        </w:rPr>
      </w:pPr>
      <w:r>
        <w:rPr>
          <w:rFonts w:ascii="Times New Roman" w:hAnsi="Times New Roman" w:eastAsia="仿宋_GB2312" w:cs="Times New Roman"/>
          <w:color w:val="000000"/>
          <w:kern w:val="2"/>
          <w:sz w:val="32"/>
          <w:szCs w:val="32"/>
          <w:lang w:val="zh-CN" w:eastAsia="zh-CN" w:bidi="ar-SA"/>
        </w:rPr>
        <w:t>《</w:t>
      </w:r>
      <w:r>
        <w:rPr>
          <w:rFonts w:hint="eastAsia" w:ascii="Times New Roman" w:hAnsi="Times New Roman" w:eastAsia="仿宋_GB2312" w:cs="Times New Roman"/>
          <w:color w:val="000000"/>
          <w:kern w:val="2"/>
          <w:sz w:val="32"/>
          <w:szCs w:val="32"/>
          <w:lang w:val="zh-CN" w:eastAsia="zh-CN" w:bidi="ar-SA"/>
        </w:rPr>
        <w:t>规范</w:t>
      </w:r>
      <w:r>
        <w:rPr>
          <w:rFonts w:ascii="Times New Roman" w:hAnsi="Times New Roman"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en-US" w:eastAsia="zh-CN" w:bidi="ar-SA"/>
        </w:rPr>
        <w:t>适用于四川省行政区域内</w:t>
      </w:r>
      <w:r>
        <w:rPr>
          <w:rFonts w:hint="eastAsia" w:eastAsia="仿宋_GB2312" w:cs="Times New Roman"/>
          <w:color w:val="000000"/>
          <w:kern w:val="2"/>
          <w:sz w:val="32"/>
          <w:szCs w:val="32"/>
          <w:lang w:val="en-US" w:eastAsia="zh-CN" w:bidi="ar-SA"/>
        </w:rPr>
        <w:t>非高危</w:t>
      </w:r>
      <w:r>
        <w:rPr>
          <w:rFonts w:hint="eastAsia" w:ascii="Times New Roman" w:hAnsi="Times New Roman" w:eastAsia="仿宋_GB2312" w:cs="Times New Roman"/>
          <w:color w:val="000000"/>
          <w:kern w:val="2"/>
          <w:sz w:val="32"/>
          <w:szCs w:val="32"/>
          <w:lang w:val="en-US" w:eastAsia="zh-CN" w:bidi="ar-SA"/>
        </w:rPr>
        <w:t>行业生产经营单位</w:t>
      </w:r>
      <w:r>
        <w:rPr>
          <w:rFonts w:ascii="Times New Roman" w:hAnsi="Times New Roman" w:eastAsia="仿宋_GB2312" w:cs="Times New Roman"/>
          <w:color w:val="000000"/>
          <w:kern w:val="2"/>
          <w:sz w:val="32"/>
          <w:szCs w:val="32"/>
          <w:lang w:val="en-US" w:eastAsia="zh-CN" w:bidi="ar-SA"/>
        </w:rPr>
        <w:t>。</w:t>
      </w:r>
    </w:p>
    <w:p>
      <w:pPr>
        <w:spacing w:line="580" w:lineRule="exact"/>
        <w:ind w:firstLine="640" w:firstLineChars="200"/>
        <w:outlineLvl w:val="0"/>
        <w:rPr>
          <w:rFonts w:ascii="黑体" w:hAnsi="黑体" w:eastAsia="黑体" w:cs="Times New Roman"/>
          <w:color w:val="000000"/>
          <w:sz w:val="32"/>
          <w:szCs w:val="32"/>
        </w:rPr>
      </w:pPr>
      <w:r>
        <w:rPr>
          <w:rFonts w:hint="eastAsia" w:ascii="黑体" w:hAnsi="黑体" w:eastAsia="黑体" w:cs="Times New Roman"/>
          <w:color w:val="000000"/>
          <w:sz w:val="32"/>
          <w:szCs w:val="32"/>
          <w:lang w:eastAsia="zh-CN"/>
        </w:rPr>
        <w:t>七</w:t>
      </w:r>
      <w:r>
        <w:rPr>
          <w:rFonts w:ascii="黑体" w:hAnsi="黑体" w:eastAsia="黑体" w:cs="Times New Roman"/>
          <w:color w:val="000000"/>
          <w:sz w:val="32"/>
          <w:szCs w:val="32"/>
        </w:rPr>
        <w:t>、标准与现行法律、法规和强制性国家、行业、地方标准的关系</w:t>
      </w:r>
    </w:p>
    <w:p>
      <w:pPr>
        <w:adjustRightInd w:val="0"/>
        <w:snapToGrid w:val="0"/>
        <w:spacing w:line="580" w:lineRule="exact"/>
        <w:ind w:firstLine="640" w:firstLineChars="200"/>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本次标准编制严格适用于《中华人民共和国安全生产法》、《安全生产培训管理办法》，《生产经营单位安全培训规定》，与国家法律、法规和强制性国家、行业、地方标准无冲突。</w:t>
      </w:r>
    </w:p>
    <w:p>
      <w:pPr>
        <w:spacing w:line="580" w:lineRule="exact"/>
        <w:ind w:firstLine="640" w:firstLineChars="200"/>
        <w:outlineLvl w:val="0"/>
        <w:rPr>
          <w:rFonts w:hint="eastAsia" w:ascii="黑体" w:hAnsi="黑体" w:eastAsia="黑体" w:cs="Times New Roman"/>
          <w:color w:val="000000"/>
          <w:sz w:val="32"/>
          <w:szCs w:val="32"/>
          <w:lang w:eastAsia="zh-CN"/>
        </w:rPr>
      </w:pPr>
      <w:r>
        <w:rPr>
          <w:rFonts w:hint="eastAsia" w:ascii="黑体" w:hAnsi="黑体" w:eastAsia="黑体" w:cs="Times New Roman"/>
          <w:color w:val="000000"/>
          <w:sz w:val="32"/>
          <w:szCs w:val="32"/>
          <w:lang w:eastAsia="zh-CN"/>
        </w:rPr>
        <w:t>八、效益分析</w:t>
      </w:r>
      <w:bookmarkEnd w:id="12"/>
    </w:p>
    <w:p>
      <w:pPr>
        <w:spacing w:line="580" w:lineRule="exact"/>
        <w:ind w:firstLine="640" w:firstLineChars="200"/>
        <w:outlineLvl w:val="1"/>
        <w:rPr>
          <w:rFonts w:ascii="楷体" w:hAnsi="楷体" w:eastAsia="楷体" w:cs="楷体"/>
          <w:color w:val="000000"/>
          <w:sz w:val="32"/>
          <w:szCs w:val="32"/>
        </w:rPr>
      </w:pPr>
      <w:bookmarkStart w:id="16" w:name="_Toc533087392"/>
      <w:bookmarkStart w:id="17" w:name="_Hlk530141822"/>
      <w:r>
        <w:rPr>
          <w:rFonts w:hint="eastAsia" w:ascii="楷体" w:hAnsi="楷体" w:eastAsia="楷体" w:cs="楷体"/>
          <w:color w:val="000000"/>
          <w:sz w:val="32"/>
          <w:szCs w:val="32"/>
        </w:rPr>
        <w:t>（一）</w:t>
      </w:r>
      <w:r>
        <w:rPr>
          <w:rFonts w:ascii="楷体" w:hAnsi="楷体" w:eastAsia="楷体" w:cs="楷体"/>
          <w:color w:val="000000"/>
          <w:sz w:val="32"/>
          <w:szCs w:val="32"/>
        </w:rPr>
        <w:t>经济效益分析</w:t>
      </w:r>
      <w:bookmarkEnd w:id="16"/>
    </w:p>
    <w:p>
      <w:pPr>
        <w:autoSpaceDE w:val="0"/>
        <w:autoSpaceDN w:val="0"/>
        <w:adjustRightInd w:val="0"/>
        <w:snapToGrid w:val="0"/>
        <w:spacing w:line="580" w:lineRule="exact"/>
        <w:ind w:firstLine="640" w:firstLineChars="200"/>
        <w:jc w:val="left"/>
        <w:rPr>
          <w:rFonts w:eastAsia="仿宋_GB2312"/>
          <w:sz w:val="32"/>
          <w:szCs w:val="32"/>
        </w:rPr>
      </w:pPr>
      <w:r>
        <w:rPr>
          <w:rFonts w:hint="eastAsia" w:eastAsia="仿宋_GB2312"/>
          <w:sz w:val="32"/>
          <w:szCs w:val="32"/>
        </w:rPr>
        <w:t>非高危行业涉及面甚广</w:t>
      </w:r>
      <w:r>
        <w:rPr>
          <w:rFonts w:eastAsia="仿宋_GB2312"/>
          <w:sz w:val="32"/>
          <w:szCs w:val="32"/>
        </w:rPr>
        <w:t>，保障</w:t>
      </w:r>
      <w:r>
        <w:rPr>
          <w:rFonts w:hint="eastAsia" w:eastAsia="仿宋_GB2312"/>
          <w:sz w:val="32"/>
          <w:szCs w:val="32"/>
        </w:rPr>
        <w:t>非高危行业的</w:t>
      </w:r>
      <w:r>
        <w:rPr>
          <w:rFonts w:eastAsia="仿宋_GB2312"/>
          <w:sz w:val="32"/>
          <w:szCs w:val="32"/>
        </w:rPr>
        <w:t>安全协调可持续发展，是推动</w:t>
      </w:r>
      <w:r>
        <w:rPr>
          <w:rFonts w:hint="eastAsia" w:eastAsia="仿宋_GB2312"/>
          <w:sz w:val="32"/>
          <w:szCs w:val="32"/>
        </w:rPr>
        <w:t>经济</w:t>
      </w:r>
      <w:r>
        <w:rPr>
          <w:rFonts w:eastAsia="仿宋_GB2312"/>
          <w:sz w:val="32"/>
          <w:szCs w:val="32"/>
        </w:rPr>
        <w:t>发展的有利措施。本</w:t>
      </w:r>
      <w:r>
        <w:rPr>
          <w:rFonts w:hint="eastAsia" w:eastAsia="仿宋_GB2312"/>
          <w:sz w:val="32"/>
          <w:szCs w:val="32"/>
        </w:rPr>
        <w:t>规范</w:t>
      </w:r>
      <w:r>
        <w:rPr>
          <w:rFonts w:eastAsia="仿宋_GB2312"/>
          <w:sz w:val="32"/>
          <w:szCs w:val="32"/>
        </w:rPr>
        <w:t>的实施可进一步</w:t>
      </w:r>
      <w:r>
        <w:rPr>
          <w:rFonts w:hint="eastAsia" w:eastAsia="仿宋_GB2312"/>
          <w:sz w:val="32"/>
          <w:szCs w:val="32"/>
        </w:rPr>
        <w:t>提高非高危行业生产经营单位</w:t>
      </w:r>
      <w:r>
        <w:rPr>
          <w:rFonts w:eastAsia="仿宋_GB2312"/>
          <w:sz w:val="32"/>
          <w:szCs w:val="32"/>
        </w:rPr>
        <w:t>安全</w:t>
      </w:r>
      <w:r>
        <w:rPr>
          <w:rFonts w:hint="eastAsia" w:eastAsia="仿宋_GB2312"/>
          <w:sz w:val="32"/>
          <w:szCs w:val="32"/>
        </w:rPr>
        <w:t>生产</w:t>
      </w:r>
      <w:r>
        <w:rPr>
          <w:rFonts w:eastAsia="仿宋_GB2312"/>
          <w:sz w:val="32"/>
          <w:szCs w:val="32"/>
        </w:rPr>
        <w:t>管理人员</w:t>
      </w:r>
      <w:r>
        <w:rPr>
          <w:rFonts w:hint="eastAsia" w:eastAsia="仿宋_GB2312"/>
          <w:sz w:val="32"/>
          <w:szCs w:val="32"/>
        </w:rPr>
        <w:t>安全素质，防范安全事故，</w:t>
      </w:r>
      <w:r>
        <w:rPr>
          <w:rFonts w:eastAsia="仿宋_GB2312"/>
          <w:sz w:val="32"/>
          <w:szCs w:val="32"/>
        </w:rPr>
        <w:t>提升</w:t>
      </w:r>
      <w:r>
        <w:rPr>
          <w:rFonts w:hint="eastAsia" w:eastAsia="仿宋_GB2312"/>
          <w:sz w:val="32"/>
          <w:szCs w:val="32"/>
        </w:rPr>
        <w:t>非高危行业</w:t>
      </w:r>
      <w:r>
        <w:rPr>
          <w:rFonts w:eastAsia="仿宋_GB2312"/>
          <w:sz w:val="32"/>
          <w:szCs w:val="32"/>
        </w:rPr>
        <w:t>安全管理水平</w:t>
      </w:r>
      <w:r>
        <w:rPr>
          <w:rFonts w:hint="eastAsia" w:eastAsia="仿宋_GB2312"/>
          <w:sz w:val="32"/>
          <w:szCs w:val="32"/>
        </w:rPr>
        <w:t>，降低非高危行业生产经营单位的安全风险，进而提高生产水平，</w:t>
      </w:r>
      <w:r>
        <w:rPr>
          <w:rFonts w:eastAsia="仿宋_GB2312"/>
          <w:sz w:val="32"/>
          <w:szCs w:val="32"/>
        </w:rPr>
        <w:t>创造良好的经济效益。</w:t>
      </w:r>
    </w:p>
    <w:p>
      <w:pPr>
        <w:pStyle w:val="3"/>
        <w:spacing w:line="580" w:lineRule="exact"/>
        <w:ind w:firstLine="640" w:firstLineChars="200"/>
        <w:rPr>
          <w:rFonts w:eastAsia="楷体_GB2312" w:cs="Times New Roman"/>
        </w:rPr>
      </w:pPr>
      <w:bookmarkStart w:id="18" w:name="_Toc533087393"/>
      <w:r>
        <w:rPr>
          <w:rFonts w:hint="eastAsia" w:ascii="楷体" w:hAnsi="楷体" w:eastAsia="楷体" w:cs="楷体"/>
          <w:b w:val="0"/>
          <w:bCs w:val="0"/>
          <w:color w:val="000000"/>
        </w:rPr>
        <w:t>（二）</w:t>
      </w:r>
      <w:r>
        <w:rPr>
          <w:rFonts w:ascii="楷体" w:hAnsi="楷体" w:eastAsia="楷体" w:cs="楷体"/>
          <w:b w:val="0"/>
          <w:bCs w:val="0"/>
          <w:color w:val="000000"/>
        </w:rPr>
        <w:t>社会效益分析</w:t>
      </w:r>
      <w:bookmarkEnd w:id="18"/>
    </w:p>
    <w:p>
      <w:pPr>
        <w:pStyle w:val="13"/>
        <w:snapToGrid w:val="0"/>
        <w:ind w:firstLine="640"/>
        <w:rPr>
          <w:szCs w:val="32"/>
        </w:rPr>
      </w:pPr>
      <w:r>
        <w:rPr>
          <w:rFonts w:hint="eastAsia"/>
          <w:szCs w:val="32"/>
        </w:rPr>
        <w:t>非高危行业</w:t>
      </w:r>
      <w:r>
        <w:rPr>
          <w:szCs w:val="32"/>
        </w:rPr>
        <w:t>具有企业基数大、涉及行业领域广、民众</w:t>
      </w:r>
      <w:r>
        <w:rPr>
          <w:rFonts w:hint="eastAsia"/>
          <w:szCs w:val="32"/>
        </w:rPr>
        <w:t>多</w:t>
      </w:r>
      <w:r>
        <w:rPr>
          <w:szCs w:val="32"/>
        </w:rPr>
        <w:t>的特点。本标准的实施可进一步推进</w:t>
      </w:r>
      <w:r>
        <w:rPr>
          <w:rFonts w:hint="eastAsia"/>
          <w:szCs w:val="32"/>
        </w:rPr>
        <w:t>非高危行业生产经营单位</w:t>
      </w:r>
      <w:r>
        <w:rPr>
          <w:szCs w:val="32"/>
        </w:rPr>
        <w:t>的</w:t>
      </w:r>
      <w:r>
        <w:rPr>
          <w:rFonts w:hint="eastAsia"/>
          <w:szCs w:val="32"/>
        </w:rPr>
        <w:t>安全</w:t>
      </w:r>
      <w:r>
        <w:rPr>
          <w:szCs w:val="32"/>
        </w:rPr>
        <w:t>风险管理，可以有效预防和控制潜在的安全生产事故，降低</w:t>
      </w:r>
      <w:r>
        <w:rPr>
          <w:rFonts w:hint="eastAsia"/>
          <w:szCs w:val="32"/>
        </w:rPr>
        <w:t>非高危行业生产经营单位</w:t>
      </w:r>
      <w:r>
        <w:rPr>
          <w:szCs w:val="32"/>
        </w:rPr>
        <w:t>对周边环境、社会公众的影响，进一步提升民众安全感</w:t>
      </w:r>
      <w:bookmarkEnd w:id="17"/>
      <w:r>
        <w:rPr>
          <w:szCs w:val="32"/>
        </w:rPr>
        <w:t>。</w:t>
      </w:r>
    </w:p>
    <w:p>
      <w:pPr>
        <w:spacing w:line="580" w:lineRule="exact"/>
        <w:ind w:firstLine="640" w:firstLineChars="200"/>
        <w:outlineLvl w:val="0"/>
        <w:rPr>
          <w:rFonts w:hint="eastAsia" w:ascii="黑体" w:hAnsi="黑体" w:eastAsia="黑体" w:cs="Times New Roman"/>
          <w:color w:val="000000"/>
          <w:sz w:val="32"/>
          <w:szCs w:val="32"/>
          <w:lang w:eastAsia="zh-CN"/>
        </w:rPr>
      </w:pPr>
      <w:r>
        <w:rPr>
          <w:rFonts w:hint="eastAsia" w:ascii="黑体" w:hAnsi="黑体" w:eastAsia="黑体" w:cs="Times New Roman"/>
          <w:color w:val="000000"/>
          <w:sz w:val="32"/>
          <w:szCs w:val="32"/>
          <w:lang w:eastAsia="zh-CN"/>
        </w:rPr>
        <w:t>九、标准推荐性建议</w:t>
      </w:r>
    </w:p>
    <w:p>
      <w:pPr>
        <w:spacing w:line="580" w:lineRule="exact"/>
        <w:ind w:firstLine="640" w:firstLineChars="200"/>
        <w:rPr>
          <w:szCs w:val="32"/>
        </w:rPr>
      </w:pPr>
      <w:r>
        <w:rPr>
          <w:rFonts w:ascii="Times New Roman" w:hAnsi="Times New Roman" w:eastAsia="仿宋_GB2312" w:cs="Times New Roman"/>
          <w:color w:val="000000"/>
          <w:kern w:val="2"/>
          <w:sz w:val="32"/>
          <w:szCs w:val="32"/>
          <w:lang w:val="zh-CN" w:eastAsia="zh-CN" w:bidi="ar-SA"/>
        </w:rPr>
        <w:t>《</w:t>
      </w:r>
      <w:r>
        <w:rPr>
          <w:rFonts w:hint="eastAsia" w:ascii="Times New Roman" w:hAnsi="Times New Roman" w:eastAsia="仿宋_GB2312" w:cs="Times New Roman"/>
          <w:color w:val="000000"/>
          <w:kern w:val="2"/>
          <w:sz w:val="32"/>
          <w:szCs w:val="32"/>
          <w:lang w:val="zh-CN" w:eastAsia="zh-CN" w:bidi="ar-SA"/>
        </w:rPr>
        <w:t>规范</w:t>
      </w:r>
      <w:r>
        <w:rPr>
          <w:rFonts w:ascii="Times New Roman" w:hAnsi="Times New Roman" w:eastAsia="仿宋_GB2312" w:cs="Times New Roman"/>
          <w:color w:val="000000"/>
          <w:kern w:val="2"/>
          <w:sz w:val="32"/>
          <w:szCs w:val="32"/>
          <w:lang w:val="zh-CN" w:eastAsia="zh-CN" w:bidi="ar-SA"/>
        </w:rPr>
        <w:t>》</w:t>
      </w:r>
      <w:r>
        <w:rPr>
          <w:rFonts w:ascii="Times New Roman" w:hAnsi="Times New Roman" w:eastAsia="仿宋_GB2312" w:cs="Times New Roman"/>
          <w:kern w:val="2"/>
          <w:sz w:val="32"/>
          <w:szCs w:val="32"/>
          <w:lang w:val="en-US" w:eastAsia="zh-CN" w:bidi="ar-SA"/>
        </w:rPr>
        <w:t>是依据国家和行业的相关标准规定，按国家标准化要求，根据我省</w:t>
      </w:r>
      <w:r>
        <w:rPr>
          <w:rFonts w:hint="eastAsia" w:ascii="Times New Roman" w:hAnsi="Times New Roman" w:eastAsia="仿宋_GB2312" w:cs="Times New Roman"/>
          <w:kern w:val="2"/>
          <w:sz w:val="32"/>
          <w:szCs w:val="32"/>
          <w:lang w:val="en-US" w:eastAsia="zh-CN" w:bidi="ar-SA"/>
        </w:rPr>
        <w:t>非高危行业生产经营单位</w:t>
      </w:r>
      <w:r>
        <w:rPr>
          <w:rFonts w:ascii="Times New Roman" w:hAnsi="Times New Roman" w:eastAsia="仿宋_GB2312" w:cs="Times New Roman"/>
          <w:kern w:val="2"/>
          <w:sz w:val="32"/>
          <w:szCs w:val="32"/>
          <w:lang w:val="en-US" w:eastAsia="zh-CN" w:bidi="ar-SA"/>
        </w:rPr>
        <w:t>特点，参考国内相关标准或规范性文件编写而成。建议作为推荐性标准，在全省范围实施。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9C38F7"/>
    <w:multiLevelType w:val="singleLevel"/>
    <w:tmpl w:val="D79C38F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D6756"/>
    <w:rsid w:val="00003B9A"/>
    <w:rsid w:val="00027B74"/>
    <w:rsid w:val="000A692E"/>
    <w:rsid w:val="000B035B"/>
    <w:rsid w:val="001A5B77"/>
    <w:rsid w:val="001B7487"/>
    <w:rsid w:val="001C0C4C"/>
    <w:rsid w:val="001E60D3"/>
    <w:rsid w:val="002E4BB9"/>
    <w:rsid w:val="003239A1"/>
    <w:rsid w:val="00335AC8"/>
    <w:rsid w:val="0035191C"/>
    <w:rsid w:val="003D6210"/>
    <w:rsid w:val="004000BF"/>
    <w:rsid w:val="00552ED1"/>
    <w:rsid w:val="005B665C"/>
    <w:rsid w:val="005F0D0F"/>
    <w:rsid w:val="00642D80"/>
    <w:rsid w:val="006455D6"/>
    <w:rsid w:val="00726D5E"/>
    <w:rsid w:val="007816FD"/>
    <w:rsid w:val="007E3F46"/>
    <w:rsid w:val="0086741C"/>
    <w:rsid w:val="008A7533"/>
    <w:rsid w:val="0094478A"/>
    <w:rsid w:val="00973F16"/>
    <w:rsid w:val="00976A59"/>
    <w:rsid w:val="009B576D"/>
    <w:rsid w:val="00A25BA1"/>
    <w:rsid w:val="00A826B0"/>
    <w:rsid w:val="00B648FD"/>
    <w:rsid w:val="00BE198C"/>
    <w:rsid w:val="00C01A3A"/>
    <w:rsid w:val="00C15ABF"/>
    <w:rsid w:val="00C42C88"/>
    <w:rsid w:val="00CB0B56"/>
    <w:rsid w:val="00CB482C"/>
    <w:rsid w:val="00E559AF"/>
    <w:rsid w:val="00FC690D"/>
    <w:rsid w:val="06331C9E"/>
    <w:rsid w:val="093D2918"/>
    <w:rsid w:val="0ADA7293"/>
    <w:rsid w:val="0AFF0F96"/>
    <w:rsid w:val="12D47401"/>
    <w:rsid w:val="130C5E49"/>
    <w:rsid w:val="15831A64"/>
    <w:rsid w:val="18AA7358"/>
    <w:rsid w:val="20C27F3F"/>
    <w:rsid w:val="22E4687D"/>
    <w:rsid w:val="2BD30664"/>
    <w:rsid w:val="30170566"/>
    <w:rsid w:val="32547A01"/>
    <w:rsid w:val="35A06DB9"/>
    <w:rsid w:val="392D0BCC"/>
    <w:rsid w:val="3EDA77A6"/>
    <w:rsid w:val="3F131CB9"/>
    <w:rsid w:val="44F27C97"/>
    <w:rsid w:val="471345DD"/>
    <w:rsid w:val="52116573"/>
    <w:rsid w:val="524C6FB7"/>
    <w:rsid w:val="52E46244"/>
    <w:rsid w:val="5DAB3C65"/>
    <w:rsid w:val="657E34DF"/>
    <w:rsid w:val="665D6756"/>
    <w:rsid w:val="6CE4673C"/>
    <w:rsid w:val="6E847E2E"/>
    <w:rsid w:val="6F0675D2"/>
    <w:rsid w:val="7166595F"/>
    <w:rsid w:val="74225CB7"/>
    <w:rsid w:val="7B3D3B03"/>
    <w:rsid w:val="7B9B7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line="360" w:lineRule="auto"/>
      <w:jc w:val="center"/>
      <w:outlineLvl w:val="0"/>
    </w:pPr>
    <w:rPr>
      <w:b/>
      <w:bCs/>
      <w:kern w:val="44"/>
      <w:sz w:val="36"/>
      <w:szCs w:val="44"/>
    </w:rPr>
  </w:style>
  <w:style w:type="paragraph" w:styleId="3">
    <w:name w:val="heading 2"/>
    <w:basedOn w:val="1"/>
    <w:next w:val="1"/>
    <w:unhideWhenUsed/>
    <w:qFormat/>
    <w:uiPriority w:val="9"/>
    <w:pPr>
      <w:keepNext/>
      <w:keepLines/>
      <w:spacing w:line="360" w:lineRule="auto"/>
      <w:outlineLvl w:val="1"/>
    </w:pPr>
    <w:rPr>
      <w:rFonts w:eastAsia="仿宋"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Balloon Text"/>
    <w:basedOn w:val="1"/>
    <w:link w:val="21"/>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0"/>
    <w:qFormat/>
    <w:uiPriority w:val="0"/>
    <w:rPr>
      <w:b/>
      <w:bCs/>
    </w:rPr>
  </w:style>
  <w:style w:type="character" w:styleId="11">
    <w:name w:val="annotation reference"/>
    <w:basedOn w:val="10"/>
    <w:qFormat/>
    <w:uiPriority w:val="0"/>
    <w:rPr>
      <w:sz w:val="21"/>
      <w:szCs w:val="21"/>
    </w:rPr>
  </w:style>
  <w:style w:type="table" w:customStyle="1" w:styleId="12">
    <w:name w:val="Table Normal"/>
    <w:semiHidden/>
    <w:unhideWhenUsed/>
    <w:qFormat/>
    <w:uiPriority w:val="2"/>
    <w:pPr>
      <w:widowControl w:val="0"/>
    </w:pPr>
    <w:rPr>
      <w:sz w:val="22"/>
      <w:lang w:eastAsia="en-US"/>
    </w:rPr>
    <w:tblPr>
      <w:tblLayout w:type="fixed"/>
      <w:tblCellMar>
        <w:top w:w="0" w:type="dxa"/>
        <w:left w:w="0" w:type="dxa"/>
        <w:bottom w:w="0" w:type="dxa"/>
        <w:right w:w="0" w:type="dxa"/>
      </w:tblCellMar>
    </w:tblPr>
  </w:style>
  <w:style w:type="paragraph" w:customStyle="1" w:styleId="13">
    <w:name w:val="公文主体"/>
    <w:basedOn w:val="1"/>
    <w:qFormat/>
    <w:uiPriority w:val="0"/>
    <w:pPr>
      <w:spacing w:line="580" w:lineRule="exact"/>
      <w:ind w:firstLine="200" w:firstLineChars="200"/>
    </w:pPr>
    <w:rPr>
      <w:rFonts w:eastAsia="仿宋_GB2312"/>
      <w:sz w:val="32"/>
    </w:rPr>
  </w:style>
  <w:style w:type="paragraph" w:customStyle="1" w:styleId="14">
    <w:name w:val="大标题"/>
    <w:basedOn w:val="13"/>
    <w:next w:val="1"/>
    <w:qFormat/>
    <w:uiPriority w:val="0"/>
    <w:pPr>
      <w:ind w:firstLine="0" w:firstLineChars="0"/>
      <w:jc w:val="center"/>
      <w:outlineLvl w:val="0"/>
    </w:pPr>
    <w:rPr>
      <w:rFonts w:eastAsia="方正小标宋简体"/>
      <w:sz w:val="44"/>
    </w:r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6">
    <w:name w:val="页眉 字符"/>
    <w:basedOn w:val="10"/>
    <w:link w:val="7"/>
    <w:qFormat/>
    <w:uiPriority w:val="99"/>
    <w:rPr>
      <w:kern w:val="2"/>
      <w:sz w:val="18"/>
      <w:szCs w:val="18"/>
    </w:rPr>
  </w:style>
  <w:style w:type="character" w:customStyle="1" w:styleId="17">
    <w:name w:val="页脚 字符"/>
    <w:basedOn w:val="10"/>
    <w:link w:val="6"/>
    <w:qFormat/>
    <w:uiPriority w:val="99"/>
    <w:rPr>
      <w:kern w:val="2"/>
      <w:sz w:val="18"/>
      <w:szCs w:val="18"/>
    </w:rPr>
  </w:style>
  <w:style w:type="paragraph" w:styleId="18">
    <w:name w:val="List Paragraph"/>
    <w:basedOn w:val="1"/>
    <w:qFormat/>
    <w:uiPriority w:val="99"/>
    <w:pPr>
      <w:ind w:firstLine="420" w:firstLineChars="200"/>
    </w:pPr>
  </w:style>
  <w:style w:type="character" w:customStyle="1" w:styleId="19">
    <w:name w:val="批注文字 字符"/>
    <w:basedOn w:val="10"/>
    <w:link w:val="4"/>
    <w:qFormat/>
    <w:uiPriority w:val="0"/>
    <w:rPr>
      <w:kern w:val="2"/>
      <w:sz w:val="21"/>
      <w:szCs w:val="24"/>
    </w:rPr>
  </w:style>
  <w:style w:type="character" w:customStyle="1" w:styleId="20">
    <w:name w:val="批注主题 字符"/>
    <w:basedOn w:val="19"/>
    <w:link w:val="8"/>
    <w:qFormat/>
    <w:uiPriority w:val="0"/>
    <w:rPr>
      <w:b/>
      <w:bCs/>
      <w:kern w:val="2"/>
      <w:sz w:val="21"/>
      <w:szCs w:val="24"/>
    </w:rPr>
  </w:style>
  <w:style w:type="character" w:customStyle="1" w:styleId="21">
    <w:name w:val="批注框文本 字符"/>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407</Words>
  <Characters>2320</Characters>
  <Lines>19</Lines>
  <Paragraphs>5</Paragraphs>
  <TotalTime>6</TotalTime>
  <ScaleCrop>false</ScaleCrop>
  <LinksUpToDate>false</LinksUpToDate>
  <CharactersWithSpaces>2722</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2019-12-23T01:31:00Z</dcterms:created>
  <dc:creator>小C</dc:creator>
  <cp:lastModifiedBy>徐冠男</cp:lastModifiedBy>
  <dcterms:modified xsi:type="dcterms:W3CDTF">2020-11-03T08:30:23Z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