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rPr>
      </w:pPr>
      <w:r>
        <w:rPr>
          <w:rFonts w:ascii="Times New Roman"/>
        </w:rPr>
        <w:t>CS </w:t>
      </w:r>
      <w:r>
        <w:rPr>
          <w:rFonts w:ascii="Times New Roman"/>
        </w:rPr>
        <w:fldChar w:fldCharType="begin">
          <w:ffData>
            <w:name w:val="ICS"/>
            <w:enabled/>
            <w:calcOnExit w:val="0"/>
            <w:helpText w:type="text" w:val="请输入正确的ICS号："/>
            <w:textInput>
              <w:default w:val="点击此处添加ICS号"/>
            </w:textInput>
          </w:ffData>
        </w:fldChar>
      </w:r>
      <w:bookmarkStart w:id="0" w:name="ICS"/>
      <w:r>
        <w:rPr>
          <w:rFonts w:ascii="Times New Roman"/>
        </w:rPr>
        <w:instrText xml:space="preserve"> FORMTEXT </w:instrText>
      </w:r>
      <w:r>
        <w:rPr>
          <w:rFonts w:ascii="Times New Roman"/>
        </w:rPr>
        <w:fldChar w:fldCharType="separate"/>
      </w:r>
      <w:r>
        <w:rPr>
          <w:rFonts w:ascii="Times New Roman"/>
        </w:rPr>
        <w:t>点击此处添加ICS号</w:t>
      </w:r>
      <w:r>
        <w:rPr>
          <w:rFonts w:ascii="Times New Roman"/>
        </w:rPr>
        <w:fldChar w:fldCharType="end"/>
      </w:r>
      <w:bookmarkEnd w:id="0"/>
    </w:p>
    <w:p>
      <w:pPr>
        <w:pStyle w:val="13"/>
        <w:rPr>
          <w:rFonts w:ascii="Times New Roman"/>
        </w:rPr>
      </w:pP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ascii="Times New Roman"/>
        </w:rPr>
        <w:instrText xml:space="preserve"> FORMTEXT </w:instrText>
      </w:r>
      <w:r>
        <w:rPr>
          <w:rFonts w:ascii="Times New Roman"/>
        </w:rPr>
        <w:fldChar w:fldCharType="separate"/>
      </w:r>
      <w:r>
        <w:rPr>
          <w:rFonts w:ascii="Times New Roman"/>
        </w:rPr>
        <w:t>点击此处添加中国标准文献分类号</w:t>
      </w:r>
      <w:r>
        <w:rPr>
          <w:rFonts w:ascii="Times New Roman"/>
        </w:rPr>
        <w:fldChar w:fldCharType="end"/>
      </w:r>
      <w:bookmarkEnd w:id="1"/>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3"/>
              <w:rPr>
                <w:rFonts w:ascii="Times New Roman"/>
              </w:rPr>
            </w:pPr>
            <w:r>
              <w:rPr>
                <w:rFonts w:ascii="Times New Roman"/>
              </w:rPr>
              <w:pict>
                <v:rect id="BAH" o:spid="_x0000_s1030" o:spt="1" style="position:absolute;left:0pt;margin-left:-5.25pt;margin-top:0pt;height:8.25pt;width:36.15pt;z-index:-251652096;mso-width-relative:page;mso-height-relative:page;" stroked="f" coordsize="21600,21600" o:gfxdata="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a4KCtMAAAAGAQAADwAAAAAAAAABACAAAAAiAAAAZHJzL2Rvd25yZXYueG1sUEsBAhQAFAAAAAgA&#10;h07iQKGi/O3xAQAA0gMAAA4AAAAAAAAAAQAgAAAAIgEAAGRycy9lMm9Eb2MueG1sUEsFBgAAAAAG&#10;AAYAWQEAAIUFAAAAAA==&#10;">
                  <v:path/>
                  <v:fill focussize="0,0"/>
                  <v:stroke on="f"/>
                  <v:imagedata o:title=""/>
                  <o:lock v:ext="edit"/>
                  <v:textbox>
                    <w:txbxContent>
                      <w:p/>
                    </w:txbxContent>
                  </v:textbox>
                </v:rect>
              </w:pic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2"/>
          </w:p>
        </w:tc>
      </w:tr>
    </w:tbl>
    <w:p>
      <w:pPr>
        <w:pStyle w:val="14"/>
      </w:pPr>
      <w:r>
        <w:t>DB</w:t>
      </w:r>
      <w:r>
        <w:fldChar w:fldCharType="begin">
          <w:ffData>
            <w:name w:val="c3"/>
            <w:enabled/>
            <w:calcOnExit w:val="0"/>
            <w:textInput>
              <w:maxLength w:val="2"/>
            </w:textInput>
          </w:ffData>
        </w:fldChar>
      </w:r>
      <w:bookmarkStart w:id="3" w:name="c3"/>
      <w:r>
        <w:instrText xml:space="preserve"> FORMTEXT </w:instrText>
      </w:r>
      <w:r>
        <w:fldChar w:fldCharType="separate"/>
      </w:r>
      <w:r>
        <w:t>51</w:t>
      </w:r>
      <w:r>
        <w:fldChar w:fldCharType="end"/>
      </w:r>
      <w:bookmarkEnd w:id="3"/>
    </w:p>
    <w:p>
      <w:pPr>
        <w:pStyle w:val="15"/>
        <w:rPr>
          <w:rFonts w:ascii="Times New Roman" w:hAnsi="Times New Roman"/>
        </w:rPr>
      </w:pPr>
      <w:r>
        <w:rPr>
          <w:rFonts w:ascii="Times New Roman" w:hAnsi="Times New Roman"/>
        </w:rPr>
        <w:fldChar w:fldCharType="begin">
          <w:ffData>
            <w:name w:val="c4"/>
            <w:enabled/>
            <w:calcOnExit w:val="0"/>
            <w:textInput/>
          </w:ffData>
        </w:fldChar>
      </w:r>
      <w:bookmarkStart w:id="4" w:name="c4"/>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四川省</w:t>
      </w:r>
      <w:r>
        <w:rPr>
          <w:rFonts w:ascii="Times New Roman" w:hAnsi="Times New Roman"/>
        </w:rPr>
        <w:fldChar w:fldCharType="end"/>
      </w:r>
      <w:bookmarkEnd w:id="4"/>
      <w:r>
        <w:rPr>
          <w:rFonts w:ascii="Times New Roman" w:hAnsi="Times New Roman"/>
        </w:rPr>
        <w:t>地方标准</w:t>
      </w:r>
    </w:p>
    <w:p>
      <w:pPr>
        <w:pStyle w:val="16"/>
        <w:rPr>
          <w:rFonts w:ascii="Times New Roman"/>
        </w:rPr>
      </w:pPr>
      <w:r>
        <w:rPr>
          <w:rFonts w:ascii="Times New Roman"/>
        </w:rPr>
        <w:t xml:space="preserve">DB </w:t>
      </w: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fldChar w:fldCharType="separate"/>
      </w:r>
      <w:r>
        <w:rPr>
          <w:rFonts w:ascii="Times New Roman"/>
        </w:rPr>
        <w:t>51</w:t>
      </w:r>
      <w:r>
        <w:rPr>
          <w:rFonts w:ascii="Times New Roman"/>
        </w:rPr>
        <w:fldChar w:fldCharType="end"/>
      </w:r>
      <w:bookmarkEnd w:id="5"/>
      <w:r>
        <w:rPr>
          <w:rFonts w:ascii="Times New Roman"/>
        </w:rPr>
        <w:t xml:space="preserve">/ </w:t>
      </w:r>
      <w:r>
        <w:rPr>
          <w:rFonts w:ascii="Times New Roman"/>
        </w:rPr>
        <w:fldChar w:fldCharType="begin">
          <w:ffData>
            <w:name w:val="StdNo1"/>
            <w:enabled/>
            <w:calcOnExit w:val="0"/>
            <w:textInput>
              <w:default w:val="XXXXX"/>
            </w:textInput>
          </w:ffData>
        </w:fldChar>
      </w:r>
      <w:bookmarkStart w:id="6" w:name="StdNo1"/>
      <w:r>
        <w:rPr>
          <w:rFonts w:ascii="Times New Roman"/>
        </w:rPr>
        <w:instrText xml:space="preserve"> FORMTEXT </w:instrText>
      </w:r>
      <w:r>
        <w:rPr>
          <w:rFonts w:ascii="Times New Roman"/>
        </w:rPr>
        <w:fldChar w:fldCharType="separate"/>
      </w:r>
      <w:r>
        <w:rPr>
          <w:rFonts w:ascii="Times New Roman"/>
        </w:rPr>
        <w:t>TXXXX</w:t>
      </w:r>
      <w:r>
        <w:rPr>
          <w:rFonts w:ascii="Times New Roman"/>
        </w:rPr>
        <w:fldChar w:fldCharType="end"/>
      </w:r>
      <w:bookmarkEnd w:id="6"/>
      <w:r>
        <w:rPr>
          <w:rFonts w:ascii="Times New Roman"/>
        </w:rPr>
        <w:t>—2020</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7"/>
              <w:rPr>
                <w:rFonts w:ascii="Times New Roman"/>
              </w:rPr>
            </w:pPr>
            <w:r>
              <w:rPr>
                <w:rFonts w:ascii="Times New Roman"/>
              </w:rPr>
              <w:pict>
                <v:rect id="DT" o:spid="_x0000_s1027" o:spt="1" style="position:absolute;left:0pt;margin-left:372.8pt;margin-top:2.7pt;height:9.5pt;width:47.7pt;z-index:-251655168;mso-width-relative:page;mso-height-relative:page;" stroked="f" coordsize="21600,21600" o:gfxdata="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S/KAdYAAAAIAQAADwAAAAAAAAABACAAAAAiAAAAZHJzL2Rvd25yZXYueG1sUEsBAhQAFAAA&#10;AAgAh07iQFwzDQbxAQAA0QMAAA4AAAAAAAAAAQAgAAAAJQEAAGRycy9lMm9Eb2MueG1sUEsFBgAA&#10;AAAGAAYAWQEAAIgFAAAAAA==&#10;">
                  <v:path/>
                  <v:fill focussize="0,0"/>
                  <v:stroke on="f"/>
                  <v:imagedata o:title=""/>
                  <o:lock v:ext="edit"/>
                  <v:textbox>
                    <w:txbxContent>
                      <w:p/>
                    </w:txbxContent>
                  </v:textbox>
                </v:rect>
              </w:pict>
            </w:r>
            <w:r>
              <w:rPr>
                <w:rFonts w:ascii="Times New Roman"/>
              </w:rPr>
              <w:fldChar w:fldCharType="begin">
                <w:ffData>
                  <w:name w:val="DT"/>
                  <w:enabled/>
                  <w:calcOnExit w:val="0"/>
                  <w:textInput/>
                </w:ffData>
              </w:fldChar>
            </w:r>
            <w:bookmarkStart w:id="7" w:name="DT"/>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7"/>
          </w:p>
        </w:tc>
      </w:tr>
    </w:tbl>
    <w:p>
      <w:pPr>
        <w:pStyle w:val="16"/>
        <w:rPr>
          <w:rFonts w:ascii="Times New Roman"/>
        </w:rPr>
      </w:pPr>
    </w:p>
    <w:p>
      <w:pPr>
        <w:pStyle w:val="16"/>
        <w:rPr>
          <w:rFonts w:ascii="Times New Roman"/>
        </w:rPr>
      </w:pPr>
    </w:p>
    <w:p>
      <w:pPr>
        <w:pStyle w:val="18"/>
        <w:framePr w:x="1190" w:y="6161"/>
        <w:rPr>
          <w:rFonts w:hint="eastAsia" w:ascii="Times New Roman"/>
          <w:spacing w:val="-9"/>
        </w:rPr>
      </w:pPr>
      <w:r>
        <w:rPr>
          <w:rFonts w:hint="eastAsia" w:ascii="Times New Roman"/>
          <w:spacing w:val="-9"/>
        </w:rPr>
        <w:t>非高危行业生产经营单位安全</w:t>
      </w:r>
      <w:r>
        <w:rPr>
          <w:rFonts w:hint="eastAsia" w:ascii="Times New Roman"/>
          <w:spacing w:val="-9"/>
          <w:lang w:eastAsia="zh-CN"/>
        </w:rPr>
        <w:t>生产</w:t>
      </w:r>
      <w:r>
        <w:rPr>
          <w:rFonts w:hint="eastAsia" w:ascii="Times New Roman"/>
          <w:spacing w:val="-9"/>
        </w:rPr>
        <w:t>管理人员</w:t>
      </w:r>
    </w:p>
    <w:p>
      <w:pPr>
        <w:pStyle w:val="18"/>
        <w:framePr w:x="1190" w:y="6161"/>
        <w:rPr>
          <w:rFonts w:ascii="Times New Roman"/>
        </w:rPr>
      </w:pPr>
      <w:r>
        <w:rPr>
          <w:rFonts w:hint="eastAsia" w:ascii="Times New Roman"/>
        </w:rPr>
        <w:t>安全生产考核管理规范</w:t>
      </w:r>
    </w:p>
    <w:p>
      <w:pPr>
        <w:pStyle w:val="18"/>
        <w:framePr w:x="1190" w:y="6161"/>
        <w:rPr>
          <w:rFonts w:ascii="Times New Roman"/>
        </w:rPr>
      </w:pPr>
    </w:p>
    <w:p>
      <w:pPr>
        <w:pStyle w:val="19"/>
        <w:framePr w:x="1190" w:y="6161"/>
      </w:pPr>
      <w:r>
        <w:fldChar w:fldCharType="begin">
          <w:ffData>
            <w:name w:val="StdEnglishName"/>
            <w:enabled/>
            <w:calcOnExit w:val="0"/>
            <w:textInput>
              <w:default w:val="点击此处添加标准英文译名"/>
            </w:textInput>
          </w:ffData>
        </w:fldChar>
      </w:r>
      <w:bookmarkStart w:id="8" w:name="StdEnglishName"/>
      <w:r>
        <w:instrText xml:space="preserve"> FORMTEXT </w:instrText>
      </w:r>
      <w:r>
        <w:fldChar w:fldCharType="separate"/>
      </w:r>
      <w:r>
        <w:t>     </w:t>
      </w:r>
      <w:r>
        <w:fldChar w:fldCharType="end"/>
      </w:r>
      <w:bookmarkEnd w:id="8"/>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1"/>
              <w:framePr w:x="1190" w:y="6161"/>
              <w:rPr>
                <w:rFonts w:ascii="Times New Roman"/>
              </w:rPr>
            </w:pPr>
            <w:r>
              <w:rPr>
                <w:rFonts w:ascii="Times New Roman"/>
              </w:rPr>
              <w:pict>
                <v:rect id="RQ" o:spid="_x0000_s1028" o:spt="1" style="position:absolute;left:0pt;margin-left:173.3pt;margin-top:45.15pt;height:10.6pt;width:79.5pt;z-index:-251654144;mso-width-relative:page;mso-height-relative:page;" stroked="f" coordsize="21600,21600" o:gfxdata="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JmcsnWAAAACgEAAA8AAAAAAAAAAQAgAAAAIgAAAGRycy9kb3ducmV2LnhtbFBLAQIUABQA&#10;AAAIAIdO4kBWSCXb8gEAANIDAAAOAAAAAAAAAAEAIAAAACUBAABkcnMvZTJvRG9jLnhtbFBLBQYA&#10;AAAABgAGAFkBAACJBQAAAAA=&#10;">
                  <v:path/>
                  <v:fill focussize="0,0"/>
                  <v:stroke on="f"/>
                  <v:imagedata o:title=""/>
                  <o:lock v:ext="edit"/>
                  <v:textbox>
                    <w:txbxContent>
                      <w:p/>
                    </w:txbxContent>
                  </v:textbox>
                  <w10:anchorlock/>
                </v:rect>
              </w:pict>
            </w:r>
            <w:r>
              <w:rPr>
                <w:rFonts w:ascii="Times New Roman"/>
              </w:rPr>
              <w:pict>
                <v:rect id="LB" o:spid="_x0000_s1029" o:spt="1" style="position:absolute;left:0pt;margin-left:193.3pt;margin-top:20.15pt;height:12.7pt;width:53pt;z-index:-251653120;mso-width-relative:page;mso-height-relative:page;" stroked="f" coordsize="21600,21600" o:gfxdata="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ozTDXAAAACQEAAA8AAAAAAAAAAQAgAAAAIgAAAGRycy9kb3ducmV2LnhtbFBLAQIUABQA&#10;AAAIAIdO4kCAzKAW8QEAANEDAAAOAAAAAAAAAAEAIAAAACYBAABkcnMvZTJvRG9jLnhtbFBLBQYA&#10;AAAABgAGAFkBAACJBQAAAAA=&#10;">
                  <v:path/>
                  <v:fill focussize="0,0"/>
                  <v:stroke on="f"/>
                  <v:imagedata o:title=""/>
                  <o:lock v:ext="edit"/>
                  <v:textbox>
                    <w:txbxContent>
                      <w:p/>
                    </w:txbxContent>
                  </v:textbox>
                </v:rect>
              </w:pict>
            </w:r>
            <w:r>
              <w:rPr>
                <w:rFonts w:ascii="Times New Roman"/>
              </w:rPr>
              <w:t>（</w:t>
            </w:r>
            <w:r>
              <w:rPr>
                <w:rFonts w:hint="eastAsia" w:ascii="Times New Roman"/>
              </w:rPr>
              <w:t>征求</w:t>
            </w:r>
            <w:r>
              <w:rPr>
                <w:rFonts w:ascii="Times New Roman"/>
              </w:rPr>
              <w:t>意见</w:t>
            </w:r>
            <w:r>
              <w:rPr>
                <w:rFonts w:hint="eastAsia" w:ascii="Times New Roman"/>
              </w:rPr>
              <w:t>稿</w:t>
            </w:r>
            <w:r>
              <w:rPr>
                <w:rFonts w:ascii="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2"/>
              <w:framePr w:x="1190" w:y="6161"/>
              <w:rPr>
                <w:rFonts w:ascii="Times New Roman"/>
              </w:rPr>
            </w:pPr>
            <w:r>
              <w:rPr>
                <w:rFonts w:ascii="Times New Roman"/>
              </w:rPr>
              <w:t>（本稿完成日期：20</w:t>
            </w:r>
            <w:r>
              <w:rPr>
                <w:rFonts w:hint="eastAsia" w:ascii="Times New Roman"/>
              </w:rPr>
              <w:t>20</w:t>
            </w:r>
            <w:r>
              <w:rPr>
                <w:rFonts w:ascii="Times New Roman"/>
              </w:rPr>
              <w:t>-</w:t>
            </w:r>
            <w:r>
              <w:rPr>
                <w:rFonts w:hint="eastAsia" w:ascii="Times New Roman"/>
              </w:rPr>
              <w:t>xx</w:t>
            </w:r>
            <w:r>
              <w:rPr>
                <w:rFonts w:ascii="Times New Roman"/>
              </w:rPr>
              <w:t>-</w:t>
            </w:r>
            <w:r>
              <w:rPr>
                <w:rFonts w:hint="eastAsia" w:ascii="Times New Roman"/>
              </w:rPr>
              <w:t>xx</w:t>
            </w:r>
            <w:r>
              <w:rPr>
                <w:rFonts w:ascii="Times New Roman"/>
              </w:rPr>
              <w:t>）</w:t>
            </w:r>
          </w:p>
        </w:tc>
      </w:tr>
    </w:tbl>
    <w:p>
      <w:pPr>
        <w:pStyle w:val="23"/>
        <w:framePr w:hAnchor="page" w:x="1249" w:y="13495"/>
      </w:pPr>
      <w:r>
        <w:fldChar w:fldCharType="begin">
          <w:ffData>
            <w:name w:val="FY"/>
            <w:enabled/>
            <w:calcOnExit w:val="0"/>
            <w:textInput>
              <w:default w:val="XXXX"/>
              <w:maxLength w:val="4"/>
            </w:textInput>
          </w:ffData>
        </w:fldChar>
      </w:r>
      <w:bookmarkStart w:id="9" w:name="FY"/>
      <w:r>
        <w:instrText xml:space="preserve"> FORMTEXT </w:instrText>
      </w:r>
      <w:r>
        <w:fldChar w:fldCharType="separate"/>
      </w:r>
      <w:r>
        <w:t>XXXX</w:t>
      </w:r>
      <w:r>
        <w:fldChar w:fldCharType="end"/>
      </w:r>
      <w:bookmarkEnd w:id="9"/>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r>
        <w:fldChar w:fldCharType="begin">
          <w:ffData>
            <w:name w:val="FD"/>
            <w:enabled/>
            <w:calcOnExit w:val="0"/>
            <w:textInput>
              <w:default w:val="XX"/>
              <w:maxLength w:val="2"/>
            </w:textInput>
          </w:ffData>
        </w:fldChar>
      </w:r>
      <w:bookmarkStart w:id="10" w:name="FD"/>
      <w:r>
        <w:instrText xml:space="preserve"> FORMTEXT </w:instrText>
      </w:r>
      <w:r>
        <w:fldChar w:fldCharType="separate"/>
      </w:r>
      <w:r>
        <w:t>XX</w:t>
      </w:r>
      <w:r>
        <w:fldChar w:fldCharType="end"/>
      </w:r>
      <w:bookmarkEnd w:id="10"/>
      <w:r>
        <w:t>发布</w:t>
      </w:r>
    </w:p>
    <w:p>
      <w:pPr>
        <w:pStyle w:val="24"/>
        <w:framePr w:hAnchor="page" w:x="6847" w:y="13489"/>
      </w:pPr>
      <w:r>
        <w:fldChar w:fldCharType="begin">
          <w:ffData>
            <w:name w:val="SY"/>
            <w:enabled/>
            <w:calcOnExit w:val="0"/>
            <w:textInput>
              <w:default w:val="XXXX"/>
              <w:maxLength w:val="4"/>
            </w:textInput>
          </w:ffData>
        </w:fldChar>
      </w:r>
      <w:bookmarkStart w:id="11" w:name="SY"/>
      <w:r>
        <w:instrText xml:space="preserve"> FORMTEXT </w:instrText>
      </w:r>
      <w:r>
        <w:fldChar w:fldCharType="separate"/>
      </w:r>
      <w:r>
        <w:t>XXXX</w:t>
      </w:r>
      <w:r>
        <w:fldChar w:fldCharType="end"/>
      </w:r>
      <w:bookmarkEnd w:id="11"/>
      <w:r>
        <w:t xml:space="preserve"> - </w:t>
      </w:r>
      <w:r>
        <w:fldChar w:fldCharType="begin">
          <w:ffData>
            <w:name w:val="SM"/>
            <w:enabled/>
            <w:calcOnExit w:val="0"/>
            <w:textInput>
              <w:default w:val="XX"/>
              <w:maxLength w:val="2"/>
            </w:textInput>
          </w:ffData>
        </w:fldChar>
      </w:r>
      <w:bookmarkStart w:id="12" w:name="SM"/>
      <w:r>
        <w:instrText xml:space="preserve"> FORMTEXT </w:instrText>
      </w:r>
      <w:r>
        <w:fldChar w:fldCharType="separate"/>
      </w:r>
      <w:r>
        <w:t>XX</w:t>
      </w:r>
      <w:r>
        <w:fldChar w:fldCharType="end"/>
      </w:r>
      <w:bookmarkEnd w:id="12"/>
      <w:r>
        <w:t xml:space="preserve"> - </w:t>
      </w:r>
      <w:r>
        <w:fldChar w:fldCharType="begin">
          <w:ffData>
            <w:name w:val="SD"/>
            <w:enabled/>
            <w:calcOnExit w:val="0"/>
            <w:textInput>
              <w:default w:val="XX"/>
              <w:maxLength w:val="2"/>
            </w:textInput>
          </w:ffData>
        </w:fldChar>
      </w:r>
      <w:bookmarkStart w:id="13" w:name="SD"/>
      <w:r>
        <w:instrText xml:space="preserve"> FORMTEXT </w:instrText>
      </w:r>
      <w:r>
        <w:fldChar w:fldCharType="separate"/>
      </w:r>
      <w:r>
        <w:t>XX</w:t>
      </w:r>
      <w:r>
        <w:fldChar w:fldCharType="end"/>
      </w:r>
      <w:bookmarkEnd w:id="13"/>
      <w:r>
        <w:t>实施</w:t>
      </w:r>
    </w:p>
    <w:p>
      <w:pPr>
        <w:pStyle w:val="25"/>
        <w:framePr w:x="2162" w:y="14287"/>
        <w:rPr>
          <w:rFonts w:ascii="Times New Roman"/>
        </w:rPr>
      </w:pPr>
      <w:r>
        <w:rPr>
          <w:rFonts w:ascii="Times New Roman"/>
        </w:rPr>
        <w:fldChar w:fldCharType="begin">
          <w:ffData>
            <w:name w:val="fm"/>
            <w:enabled/>
            <w:calcOnExit w:val="0"/>
            <w:textInput/>
          </w:ffData>
        </w:fldChar>
      </w:r>
      <w:bookmarkStart w:id="14" w:name="fm"/>
      <w:r>
        <w:rPr>
          <w:rFonts w:ascii="Times New Roman"/>
        </w:rPr>
        <w:instrText xml:space="preserve"> FORMTEXT </w:instrText>
      </w:r>
      <w:r>
        <w:rPr>
          <w:rFonts w:ascii="Times New Roman"/>
        </w:rPr>
        <w:fldChar w:fldCharType="separate"/>
      </w:r>
      <w:r>
        <w:rPr>
          <w:rFonts w:ascii="Times New Roman"/>
        </w:rPr>
        <w:t>四川省市场监督管理局</w:t>
      </w:r>
      <w:r>
        <w:rPr>
          <w:rFonts w:ascii="Times New Roman"/>
        </w:rPr>
        <w:fldChar w:fldCharType="end"/>
      </w:r>
      <w:bookmarkEnd w:id="14"/>
      <w:r>
        <w:rPr>
          <w:rFonts w:ascii="Times New Roman"/>
        </w:rPr>
        <w:t>   </w:t>
      </w:r>
      <w:r>
        <w:rPr>
          <w:rStyle w:val="27"/>
          <w:rFonts w:ascii="Times New Roman"/>
        </w:rPr>
        <w:t>发布</w:t>
      </w:r>
    </w:p>
    <w:p>
      <w:pPr>
        <w:pStyle w:val="26"/>
        <w:rPr>
          <w:rFonts w:ascii="Times New Roman"/>
        </w:rPr>
        <w:sectPr>
          <w:headerReference r:id="rId3" w:type="default"/>
          <w:pgSz w:w="11906" w:h="16838"/>
          <w:pgMar w:top="567" w:right="850" w:bottom="1134" w:left="1418" w:header="0" w:footer="0" w:gutter="0"/>
          <w:pgNumType w:fmt="upperRoman" w:start="1"/>
          <w:cols w:space="425" w:num="1"/>
          <w:docGrid w:type="lines" w:linePitch="312" w:charSpace="0"/>
        </w:sectPr>
      </w:pPr>
      <w:r>
        <w:rPr>
          <w:rFonts w:ascii="Times New Roman"/>
        </w:rPr>
        <w:pict>
          <v:line id="Line 3" o:spid="_x0000_s1026" o:spt="20" style="position:absolute;left:0pt;margin-left:-0.05pt;margin-top:184.25pt;height:0pt;width:482.75pt;z-index:251660288;mso-width-relative:page;mso-height-relative:page;" coordsize="21600,21600" o:gfxdata="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yWXczXAAAA&#10;CQEAAA8AAAAAAAAAAQAgAAAAIgAAAGRycy9kb3ducmV2LnhtbFBLAQIUABQAAAAIAIdO4kAv97kL&#10;rAEAAFEDAAAOAAAAAAAAAAEAIAAAACYBAABkcnMvZTJvRG9jLnhtbFBLBQYAAAAABgAGAFkBAABE&#10;BQAAAAA=&#10;">
            <v:path arrowok="t"/>
            <v:fill focussize="0,0"/>
            <v:stroke/>
            <v:imagedata o:title=""/>
            <o:lock v:ext="edit"/>
          </v:line>
        </w:pict>
      </w:r>
    </w:p>
    <w:p>
      <w:pPr>
        <w:pStyle w:val="29"/>
        <w:rPr>
          <w:rFonts w:ascii="Times New Roman"/>
        </w:rPr>
      </w:pPr>
      <w:bookmarkStart w:id="15" w:name="_Toc18537283"/>
      <w:bookmarkStart w:id="16" w:name="_Toc11783691"/>
      <w:bookmarkStart w:id="17" w:name="_Toc18537397"/>
      <w:bookmarkStart w:id="18" w:name="_Toc14188819"/>
      <w:bookmarkStart w:id="19" w:name="_Toc13084819"/>
      <w:bookmarkStart w:id="20" w:name="_Toc11846691"/>
      <w:bookmarkStart w:id="21" w:name="_Toc12452465"/>
      <w:bookmarkStart w:id="22" w:name="_Toc13666939"/>
      <w:bookmarkStart w:id="23" w:name="_Toc13084606"/>
      <w:r>
        <w:rPr>
          <w:rFonts w:ascii="Times New Roman"/>
        </w:rPr>
        <w:t>目</w:t>
      </w:r>
      <w:bookmarkStart w:id="24" w:name="BKML"/>
      <w:r>
        <w:rPr>
          <w:rFonts w:ascii="Times New Roman"/>
        </w:rPr>
        <w:t>  次</w:t>
      </w:r>
      <w:bookmarkEnd w:id="15"/>
      <w:bookmarkEnd w:id="16"/>
      <w:bookmarkEnd w:id="17"/>
      <w:bookmarkEnd w:id="18"/>
      <w:bookmarkEnd w:id="19"/>
      <w:bookmarkEnd w:id="20"/>
      <w:bookmarkEnd w:id="21"/>
      <w:bookmarkEnd w:id="22"/>
      <w:bookmarkEnd w:id="23"/>
      <w:bookmarkEnd w:id="24"/>
    </w:p>
    <w:sdt>
      <w:sdtPr>
        <w:rPr>
          <w:lang w:val="zh-CN"/>
        </w:rPr>
        <w:id w:val="-1103107474"/>
        <w:docPartObj>
          <w:docPartGallery w:val="Table of Contents"/>
          <w:docPartUnique/>
        </w:docPartObj>
      </w:sdtPr>
      <w:sdtEndPr>
        <w:rPr>
          <w:b/>
          <w:bCs/>
          <w:lang w:val="zh-CN"/>
        </w:rPr>
      </w:sdtEndPr>
      <w:sdtContent>
        <w:p>
          <w:pPr>
            <w:pStyle w:val="6"/>
            <w:tabs>
              <w:tab w:val="right" w:leader="dot" w:pos="9344"/>
            </w:tabs>
          </w:pPr>
          <w:r>
            <w:rPr>
              <w:rFonts w:asciiTheme="majorHAnsi" w:hAnsiTheme="majorHAnsi" w:eastAsiaTheme="majorEastAsia" w:cstheme="majorBidi"/>
              <w:color w:val="366091" w:themeColor="accent1" w:themeShade="BF"/>
              <w:kern w:val="0"/>
              <w:sz w:val="32"/>
              <w:szCs w:val="32"/>
            </w:rPr>
            <w:fldChar w:fldCharType="begin"/>
          </w:r>
          <w:r>
            <w:instrText xml:space="preserve"> TOC \o "1-3" \h \z \u </w:instrText>
          </w:r>
          <w:r>
            <w:rPr>
              <w:rFonts w:asciiTheme="majorHAnsi" w:hAnsiTheme="majorHAnsi" w:eastAsiaTheme="majorEastAsia" w:cstheme="majorBidi"/>
              <w:color w:val="366091" w:themeColor="accent1" w:themeShade="BF"/>
              <w:kern w:val="0"/>
              <w:sz w:val="32"/>
              <w:szCs w:val="32"/>
            </w:rPr>
            <w:fldChar w:fldCharType="separate"/>
          </w:r>
        </w:p>
        <w:p>
          <w:pPr>
            <w:pStyle w:val="6"/>
            <w:tabs>
              <w:tab w:val="right" w:leader="dot" w:pos="9344"/>
            </w:tabs>
            <w:ind w:firstLine="420" w:firstLineChars="200"/>
            <w:rPr>
              <w:rFonts w:asciiTheme="minorHAnsi" w:hAnsiTheme="minorHAnsi" w:eastAsiaTheme="minorEastAsia" w:cstheme="minorBidi"/>
              <w:szCs w:val="22"/>
            </w:rPr>
          </w:pPr>
          <w:r>
            <w:fldChar w:fldCharType="begin"/>
          </w:r>
          <w:r>
            <w:instrText xml:space="preserve"> HYPERLINK \l "_Toc18537398" </w:instrText>
          </w:r>
          <w:r>
            <w:fldChar w:fldCharType="separate"/>
          </w:r>
          <w:r>
            <w:rPr>
              <w:rStyle w:val="11"/>
            </w:rPr>
            <w:t>前言</w:t>
          </w:r>
          <w:r>
            <w:t>………………………………………………………………………………………</w:t>
          </w:r>
          <w:r>
            <w:rPr>
              <w:rFonts w:hint="eastAsia"/>
            </w:rPr>
            <w:t>.</w:t>
          </w:r>
          <w:r>
            <w:fldChar w:fldCharType="begin"/>
          </w:r>
          <w:r>
            <w:instrText xml:space="preserve"> PAGEREF _Toc18537398 \h </w:instrText>
          </w:r>
          <w:r>
            <w:fldChar w:fldCharType="separate"/>
          </w:r>
          <w:r>
            <w:t>II</w:t>
          </w:r>
          <w:r>
            <w:fldChar w:fldCharType="end"/>
          </w:r>
          <w: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"_Toc18537400" </w:instrText>
          </w:r>
          <w:r>
            <w:fldChar w:fldCharType="separate"/>
          </w:r>
          <w:r>
            <w:rPr>
              <w:rStyle w:val="11"/>
            </w:rPr>
            <w:t xml:space="preserve">1 </w:t>
          </w:r>
          <w:r>
            <w:rPr>
              <w:rStyle w:val="11"/>
              <w:rFonts w:hint="eastAsia"/>
            </w:rPr>
            <w:t>范围</w:t>
          </w:r>
          <w:r>
            <w:t>……………………………………………………………………………………</w:t>
          </w:r>
          <w:r>
            <w:rPr>
              <w:rFonts w:hint="eastAsia"/>
            </w:rPr>
            <w:t>.</w:t>
          </w:r>
          <w:r>
            <w:fldChar w:fldCharType="begin"/>
          </w:r>
          <w:r>
            <w:instrText xml:space="preserve"> PAGEREF _Toc18537400 \h </w:instrText>
          </w:r>
          <w:r>
            <w:fldChar w:fldCharType="separate"/>
          </w:r>
          <w:r>
            <w:t>1</w:t>
          </w:r>
          <w:r>
            <w:fldChar w:fldCharType="end"/>
          </w:r>
          <w: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"_Toc18537401" </w:instrText>
          </w:r>
          <w:r>
            <w:fldChar w:fldCharType="separate"/>
          </w:r>
          <w:r>
            <w:rPr>
              <w:rStyle w:val="11"/>
            </w:rPr>
            <w:t>2 规范性引用文件</w:t>
          </w:r>
          <w:r>
            <w:t>………………………………………………………………………</w:t>
          </w:r>
          <w:r>
            <w:rPr>
              <w:rFonts w:hint="eastAsia"/>
            </w:rPr>
            <w:t>.</w:t>
          </w:r>
          <w:r>
            <w:fldChar w:fldCharType="begin"/>
          </w:r>
          <w:r>
            <w:instrText xml:space="preserve"> PAGEREF _Toc18537401 \h </w:instrText>
          </w:r>
          <w:r>
            <w:fldChar w:fldCharType="separate"/>
          </w:r>
          <w:r>
            <w:t>1</w:t>
          </w:r>
          <w:r>
            <w:fldChar w:fldCharType="end"/>
          </w:r>
          <w: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"_Toc18537402" </w:instrText>
          </w:r>
          <w:r>
            <w:fldChar w:fldCharType="separate"/>
          </w:r>
          <w:r>
            <w:rPr>
              <w:rStyle w:val="11"/>
            </w:rPr>
            <w:t>3 术语和定义</w:t>
          </w:r>
          <w:r>
            <w:t>……………………………………………………………………………</w:t>
          </w:r>
          <w:r>
            <w:rPr>
              <w:rFonts w:hint="eastAsia"/>
            </w:rPr>
            <w:t>.1</w:t>
          </w:r>
          <w:r>
            <w:rPr>
              <w:rFonts w:hint="eastAsia"/>
            </w:rP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"_Toc18537409" </w:instrText>
          </w:r>
          <w:r>
            <w:fldChar w:fldCharType="separate"/>
          </w:r>
          <w:r>
            <w:rPr>
              <w:rStyle w:val="11"/>
            </w:rPr>
            <w:t xml:space="preserve">4 </w:t>
          </w:r>
          <w:r>
            <w:rPr>
              <w:rStyle w:val="11"/>
              <w:rFonts w:hint="eastAsia"/>
            </w:rPr>
            <w:t>考核大纲</w:t>
          </w:r>
          <w:r>
            <w:t>………………………………………………………………………………</w:t>
          </w:r>
          <w:r>
            <w:rPr>
              <w:rFonts w:hint="eastAsia"/>
            </w:rPr>
            <w:t>.2</w:t>
          </w:r>
          <w:r>
            <w:rPr>
              <w:rFonts w:hint="eastAsia"/>
            </w:rP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"_Toc18537413" </w:instrText>
          </w:r>
          <w:r>
            <w:fldChar w:fldCharType="separate"/>
          </w:r>
          <w:r>
            <w:rPr>
              <w:rStyle w:val="11"/>
            </w:rPr>
            <w:t xml:space="preserve">5 </w:t>
          </w:r>
          <w:r>
            <w:rPr>
              <w:rStyle w:val="11"/>
              <w:rFonts w:hint="eastAsia"/>
            </w:rPr>
            <w:t>考核</w:t>
          </w:r>
          <w:r>
            <w:rPr>
              <w:rStyle w:val="11"/>
              <w:rFonts w:hint="eastAsia"/>
              <w:lang w:eastAsia="zh-CN"/>
            </w:rPr>
            <w:t>深度要求</w:t>
          </w:r>
          <w:r>
            <w:t>…………………………………………………………………………</w:t>
          </w:r>
          <w:r>
            <w:rPr>
              <w:rFonts w:hint="eastAsia"/>
            </w:rPr>
            <w:t>.</w:t>
          </w:r>
          <w:r>
            <w:rPr>
              <w:rFonts w:hint="eastAsia"/>
              <w:lang w:val="en-US" w:eastAsia="zh-CN"/>
            </w:rPr>
            <w:t>4</w:t>
          </w:r>
          <w:r>
            <w:rPr>
              <w:rFonts w:hint="eastAsia"/>
            </w:rPr>
            <w:fldChar w:fldCharType="end"/>
          </w:r>
        </w:p>
        <w:p>
          <w:pPr>
            <w:pStyle w:val="7"/>
            <w:tabs>
              <w:tab w:val="right" w:leader="dot" w:pos="9344"/>
            </w:tabs>
            <w:rPr>
              <w:rFonts w:asciiTheme="minorHAnsi" w:hAnsiTheme="minorHAnsi" w:eastAsiaTheme="minorEastAsia" w:cstheme="minorBidi"/>
              <w:szCs w:val="22"/>
            </w:rPr>
          </w:pPr>
          <w:r>
            <w:fldChar w:fldCharType="begin"/>
          </w:r>
          <w:r>
            <w:instrText xml:space="preserve"> HYPERLINK \l "_Toc18537414" </w:instrText>
          </w:r>
          <w:r>
            <w:fldChar w:fldCharType="separate"/>
          </w:r>
          <w:r>
            <w:rPr>
              <w:rStyle w:val="11"/>
            </w:rPr>
            <w:t xml:space="preserve">6 </w:t>
          </w:r>
          <w:r>
            <w:rPr>
              <w:rStyle w:val="11"/>
              <w:rFonts w:hint="eastAsia"/>
            </w:rPr>
            <w:t>考核</w:t>
          </w:r>
          <w:r>
            <w:rPr>
              <w:rStyle w:val="11"/>
              <w:rFonts w:hint="eastAsia"/>
              <w:lang w:eastAsia="zh-CN"/>
            </w:rPr>
            <w:t>方式</w:t>
          </w:r>
          <w:r>
            <w:t>………………………………………………………………………………</w:t>
          </w:r>
          <w:r>
            <w:rPr>
              <w:rFonts w:hint="eastAsia"/>
            </w:rPr>
            <w:t>.</w:t>
          </w:r>
          <w:r>
            <w:rPr>
              <w:rFonts w:hint="eastAsia"/>
              <w:lang w:val="en-US" w:eastAsia="zh-CN"/>
            </w:rPr>
            <w:t>4</w:t>
          </w:r>
          <w:r>
            <w:rPr>
              <w:rFonts w:hint="eastAsia"/>
            </w:rPr>
            <w:fldChar w:fldCharType="end"/>
          </w:r>
        </w:p>
        <w:p>
          <w:r>
            <w:rPr>
              <w:b/>
              <w:bCs/>
              <w:lang w:val="zh-CN"/>
            </w:rPr>
            <w:fldChar w:fldCharType="end"/>
          </w:r>
        </w:p>
      </w:sdtContent>
    </w:sdt>
    <w:p/>
    <w:p/>
    <w:p/>
    <w:p/>
    <w:p/>
    <w:p/>
    <w:p/>
    <w:p/>
    <w:p/>
    <w:p/>
    <w:p/>
    <w:p/>
    <w:p/>
    <w:p/>
    <w:p/>
    <w:p/>
    <w:p/>
    <w:p/>
    <w:p/>
    <w:p/>
    <w:p/>
    <w:p/>
    <w:p/>
    <w:p/>
    <w:p/>
    <w:p/>
    <w:p/>
    <w:p/>
    <w:p/>
    <w:p/>
    <w:p>
      <w:pPr>
        <w:pStyle w:val="33"/>
        <w:rPr>
          <w:rFonts w:ascii="Times New Roman"/>
        </w:rPr>
      </w:pPr>
      <w:bookmarkStart w:id="25" w:name="_Toc13084820"/>
      <w:bookmarkStart w:id="26" w:name="_Toc18537398"/>
      <w:bookmarkStart w:id="27" w:name="_Toc12452466"/>
      <w:bookmarkStart w:id="28" w:name="_Toc13084607"/>
      <w:bookmarkStart w:id="29" w:name="_Toc11783692"/>
      <w:bookmarkStart w:id="30" w:name="_Toc471479878"/>
      <w:r>
        <w:rPr>
          <w:rFonts w:ascii="Times New Roman"/>
        </w:rPr>
        <w:t>前</w:t>
      </w:r>
      <w:bookmarkStart w:id="31" w:name="BKQY"/>
      <w:r>
        <w:rPr>
          <w:rFonts w:ascii="Times New Roman"/>
        </w:rPr>
        <w:t>  言</w:t>
      </w:r>
      <w:bookmarkEnd w:id="25"/>
      <w:bookmarkEnd w:id="26"/>
      <w:bookmarkEnd w:id="27"/>
      <w:bookmarkEnd w:id="28"/>
      <w:bookmarkEnd w:id="29"/>
      <w:bookmarkEnd w:id="30"/>
      <w:bookmarkEnd w:id="31"/>
    </w:p>
    <w:p>
      <w:pPr>
        <w:pStyle w:val="26"/>
        <w:rPr>
          <w:rFonts w:ascii="Times New Roman"/>
          <w:szCs w:val="22"/>
        </w:rPr>
      </w:pPr>
      <w:r>
        <w:rPr>
          <w:rFonts w:hint="eastAsia" w:ascii="Times New Roman"/>
          <w:szCs w:val="22"/>
        </w:rPr>
        <w:t>本</w:t>
      </w:r>
      <w:r>
        <w:rPr>
          <w:rFonts w:hint="eastAsia" w:ascii="Times New Roman"/>
          <w:szCs w:val="22"/>
          <w:lang w:eastAsia="zh-CN"/>
        </w:rPr>
        <w:t>文件</w:t>
      </w:r>
      <w:r>
        <w:rPr>
          <w:rFonts w:hint="eastAsia" w:ascii="Times New Roman"/>
          <w:szCs w:val="22"/>
        </w:rPr>
        <w:t>依据国家安全生产法律法规对安全生产培训与考核的规定，在充分考虑四川省非高危行业生产经营单位的安全管理以及人员安全素质现状的基础上编制而成。</w:t>
      </w:r>
    </w:p>
    <w:p>
      <w:pPr>
        <w:pStyle w:val="26"/>
        <w:rPr>
          <w:rFonts w:ascii="Times New Roman"/>
          <w:szCs w:val="22"/>
        </w:rPr>
      </w:pPr>
      <w:r>
        <w:rPr>
          <w:rFonts w:hint="eastAsia" w:ascii="Times New Roman"/>
          <w:szCs w:val="22"/>
        </w:rPr>
        <w:t>制定本</w:t>
      </w:r>
      <w:r>
        <w:rPr>
          <w:rFonts w:hint="eastAsia" w:ascii="Times New Roman"/>
          <w:szCs w:val="22"/>
          <w:lang w:eastAsia="zh-CN"/>
        </w:rPr>
        <w:t>文件</w:t>
      </w:r>
      <w:r>
        <w:rPr>
          <w:rFonts w:hint="eastAsia" w:ascii="Times New Roman"/>
          <w:szCs w:val="22"/>
        </w:rPr>
        <w:t>的目的是规范非高危行业生产经营单位主要负责人安全生产知识考核工作，提高非高危行业生产经营单位主要负责人安全生产管理能力，促进安全生产。</w:t>
      </w:r>
    </w:p>
    <w:p>
      <w:pPr>
        <w:pStyle w:val="26"/>
        <w:rPr>
          <w:rFonts w:ascii="Times New Roman"/>
          <w:szCs w:val="22"/>
        </w:rPr>
      </w:pPr>
      <w:r>
        <w:rPr>
          <w:rFonts w:hint="eastAsia" w:ascii="Times New Roman"/>
          <w:szCs w:val="22"/>
        </w:rPr>
        <w:t>本</w:t>
      </w:r>
      <w:r>
        <w:rPr>
          <w:rFonts w:hint="eastAsia" w:ascii="Times New Roman"/>
          <w:szCs w:val="22"/>
          <w:lang w:eastAsia="zh-CN"/>
        </w:rPr>
        <w:t>文件</w:t>
      </w:r>
      <w:r>
        <w:rPr>
          <w:rFonts w:hint="eastAsia" w:ascii="Times New Roman"/>
          <w:szCs w:val="22"/>
        </w:rPr>
        <w:t>由四川省应急管理厅提出并归口。</w:t>
      </w:r>
    </w:p>
    <w:p>
      <w:pPr>
        <w:pStyle w:val="26"/>
        <w:rPr>
          <w:rFonts w:hint="eastAsia" w:ascii="Times New Roman" w:hAnsi="Times New Roman" w:cs="Times New Roman"/>
          <w:szCs w:val="22"/>
          <w:lang w:eastAsia="zh-CN"/>
        </w:rPr>
      </w:pPr>
      <w:r>
        <w:rPr>
          <w:rFonts w:hint="eastAsia" w:ascii="Times New Roman"/>
          <w:szCs w:val="22"/>
        </w:rPr>
        <w:t>本</w:t>
      </w:r>
      <w:r>
        <w:rPr>
          <w:rFonts w:hint="eastAsia" w:ascii="Times New Roman"/>
          <w:szCs w:val="22"/>
          <w:lang w:eastAsia="zh-CN"/>
        </w:rPr>
        <w:t>文件</w:t>
      </w:r>
      <w:r>
        <w:rPr>
          <w:rFonts w:hint="eastAsia" w:ascii="Times New Roman"/>
          <w:szCs w:val="22"/>
        </w:rPr>
        <w:t>起草单位：四川省安全科学技术研究院</w:t>
      </w:r>
      <w:r>
        <w:rPr>
          <w:rFonts w:hint="eastAsia" w:ascii="Times New Roman"/>
          <w:szCs w:val="22"/>
          <w:lang w:eastAsia="zh-CN"/>
        </w:rPr>
        <w:t>、</w:t>
      </w:r>
      <w:r>
        <w:rPr>
          <w:rFonts w:hint="default" w:ascii="Times New Roman" w:hAnsi="Times New Roman" w:cs="Times New Roman"/>
          <w:szCs w:val="22"/>
          <w:lang w:val="en-US" w:eastAsia="zh-CN"/>
        </w:rPr>
        <w:t>成都市城市安全与应急管理研究院</w:t>
      </w:r>
      <w:r>
        <w:rPr>
          <w:rFonts w:hint="eastAsia" w:ascii="Times New Roman" w:hAnsi="Times New Roman" w:cs="Times New Roman"/>
          <w:szCs w:val="22"/>
          <w:lang w:val="en-US" w:eastAsia="zh-CN"/>
        </w:rPr>
        <w:t>、</w:t>
      </w:r>
      <w:r>
        <w:rPr>
          <w:rFonts w:hint="eastAsia"/>
          <w:lang w:eastAsia="zh-CN"/>
        </w:rPr>
        <w:t>四川天府新区信息职业学院。</w:t>
      </w:r>
    </w:p>
    <w:p>
      <w:pPr>
        <w:pStyle w:val="26"/>
        <w:rPr>
          <w:rFonts w:hint="eastAsia" w:ascii="Times New Roman" w:eastAsia="宋体"/>
          <w:szCs w:val="22"/>
          <w:lang w:eastAsia="zh-CN"/>
        </w:rPr>
      </w:pPr>
      <w:r>
        <w:rPr>
          <w:rFonts w:hint="eastAsia" w:ascii="Times New Roman"/>
          <w:szCs w:val="22"/>
        </w:rPr>
        <w:t>本</w:t>
      </w:r>
      <w:r>
        <w:rPr>
          <w:rFonts w:hint="eastAsia" w:ascii="Times New Roman"/>
          <w:szCs w:val="22"/>
          <w:lang w:eastAsia="zh-CN"/>
        </w:rPr>
        <w:t>文件</w:t>
      </w:r>
      <w:r>
        <w:rPr>
          <w:rFonts w:hint="eastAsia" w:ascii="Times New Roman"/>
          <w:szCs w:val="22"/>
        </w:rPr>
        <w:t>主要起草人：李艺昕、江光平、邬运美</w:t>
      </w:r>
      <w:r>
        <w:rPr>
          <w:rFonts w:hint="eastAsia" w:ascii="Times New Roman"/>
          <w:szCs w:val="22"/>
          <w:lang w:eastAsia="zh-CN"/>
        </w:rPr>
        <w:t>、伍智敏、</w:t>
      </w:r>
      <w:bookmarkStart w:id="74" w:name="_GoBack"/>
      <w:bookmarkEnd w:id="74"/>
      <w:r>
        <w:rPr>
          <w:rFonts w:hint="eastAsia" w:ascii="Times New Roman"/>
          <w:szCs w:val="22"/>
          <w:lang w:eastAsia="zh-CN"/>
        </w:rPr>
        <w:t>赵洪华、郭珂邑、高晓岚、黄建平。</w:t>
      </w:r>
    </w:p>
    <w:p/>
    <w:p/>
    <w:p/>
    <w:p/>
    <w:p/>
    <w:p/>
    <w:p/>
    <w:p/>
    <w:p/>
    <w:p/>
    <w:p/>
    <w:p/>
    <w:p/>
    <w:p/>
    <w:p/>
    <w:p/>
    <w:p/>
    <w:p/>
    <w:p/>
    <w:p/>
    <w:p/>
    <w:p/>
    <w:p/>
    <w:p/>
    <w:p/>
    <w:p/>
    <w:p/>
    <w:p/>
    <w:p/>
    <w:p/>
    <w:p/>
    <w:p>
      <w:pPr>
        <w:pStyle w:val="29"/>
        <w:rPr>
          <w:rFonts w:hint="eastAsia" w:ascii="Times New Roman"/>
          <w:spacing w:val="-17"/>
        </w:rPr>
        <w:sectPr>
          <w:footerReference r:id="rId4" w:type="default"/>
          <w:pgSz w:w="11906" w:h="16838"/>
          <w:pgMar w:top="1440" w:right="1800" w:bottom="1440" w:left="1800" w:header="851" w:footer="992" w:gutter="0"/>
          <w:pgNumType w:fmt="upperRoman" w:start="1"/>
          <w:cols w:space="425" w:num="1"/>
          <w:docGrid w:type="lines" w:linePitch="312" w:charSpace="0"/>
        </w:sectPr>
      </w:pPr>
      <w:bookmarkStart w:id="32" w:name="_Toc13084608"/>
      <w:bookmarkStart w:id="33" w:name="_Toc12452467"/>
      <w:bookmarkStart w:id="34" w:name="_Toc13666941"/>
      <w:bookmarkStart w:id="35" w:name="_Toc14183023"/>
      <w:bookmarkStart w:id="36" w:name="_Toc18537399"/>
      <w:bookmarkStart w:id="37" w:name="_Toc11783693"/>
      <w:bookmarkStart w:id="38" w:name="_Toc18537285"/>
      <w:bookmarkStart w:id="39" w:name="_Toc13084821"/>
      <w:bookmarkStart w:id="40" w:name="_Toc14188821"/>
    </w:p>
    <w:p>
      <w:pPr>
        <w:pStyle w:val="29"/>
        <w:jc w:val="both"/>
        <w:rPr>
          <w:rFonts w:ascii="Times New Roman"/>
        </w:rPr>
      </w:pPr>
      <w:r>
        <w:rPr>
          <w:rFonts w:hint="eastAsia" w:ascii="Times New Roman"/>
          <w:spacing w:val="-17"/>
        </w:rPr>
        <w:t>非高危行业生产经营单位安全</w:t>
      </w:r>
      <w:r>
        <w:rPr>
          <w:rFonts w:hint="eastAsia" w:ascii="Times New Roman"/>
          <w:spacing w:val="-17"/>
          <w:lang w:eastAsia="zh-CN"/>
        </w:rPr>
        <w:t>生产</w:t>
      </w:r>
      <w:r>
        <w:rPr>
          <w:rFonts w:hint="eastAsia" w:ascii="Times New Roman"/>
          <w:spacing w:val="-17"/>
        </w:rPr>
        <w:t>管理人员安全生产考核</w:t>
      </w:r>
      <w:r>
        <w:rPr>
          <w:rFonts w:hint="eastAsia" w:ascii="Times New Roman"/>
          <w:spacing w:val="-17"/>
          <w:lang w:eastAsia="zh-CN"/>
        </w:rPr>
        <w:t>管理</w:t>
      </w:r>
      <w:r>
        <w:rPr>
          <w:rFonts w:hint="eastAsia" w:ascii="Times New Roman"/>
          <w:spacing w:val="-17"/>
        </w:rPr>
        <w:t>规范</w:t>
      </w:r>
      <w:bookmarkEnd w:id="32"/>
      <w:bookmarkEnd w:id="33"/>
      <w:bookmarkEnd w:id="34"/>
      <w:bookmarkEnd w:id="35"/>
      <w:bookmarkEnd w:id="36"/>
      <w:bookmarkEnd w:id="37"/>
      <w:bookmarkEnd w:id="38"/>
      <w:bookmarkEnd w:id="39"/>
      <w:bookmarkEnd w:id="40"/>
    </w:p>
    <w:p>
      <w:pPr>
        <w:pStyle w:val="34"/>
        <w:spacing w:before="312" w:after="312"/>
      </w:pPr>
      <w:bookmarkStart w:id="41" w:name="_Toc471479879"/>
      <w:bookmarkStart w:id="42" w:name="_Toc18537400"/>
      <w:r>
        <w:rPr>
          <w:rFonts w:hint="eastAsia"/>
        </w:rPr>
        <w:t>范围</w:t>
      </w:r>
      <w:bookmarkEnd w:id="41"/>
      <w:bookmarkEnd w:id="42"/>
    </w:p>
    <w:p>
      <w:pPr>
        <w:pStyle w:val="26"/>
        <w:rPr>
          <w:rFonts w:ascii="Times New Roman"/>
          <w:szCs w:val="22"/>
        </w:rPr>
      </w:pPr>
      <w:bookmarkStart w:id="43" w:name="_Toc14166672"/>
      <w:r>
        <w:rPr>
          <w:rFonts w:hint="eastAsia" w:ascii="Times New Roman"/>
          <w:szCs w:val="22"/>
        </w:rPr>
        <w:t>本</w:t>
      </w:r>
      <w:r>
        <w:rPr>
          <w:rFonts w:hint="eastAsia" w:ascii="Times New Roman"/>
          <w:szCs w:val="22"/>
          <w:lang w:eastAsia="zh-CN"/>
        </w:rPr>
        <w:t>文件</w:t>
      </w:r>
      <w:r>
        <w:rPr>
          <w:rFonts w:hint="eastAsia" w:ascii="Times New Roman"/>
          <w:szCs w:val="22"/>
        </w:rPr>
        <w:t>规定了非高危行业生产经营单位安全管理人员安全生产知识考核的依据、目的、要求、方式和管理办法。</w:t>
      </w:r>
      <w:bookmarkEnd w:id="43"/>
    </w:p>
    <w:p>
      <w:pPr>
        <w:pStyle w:val="26"/>
        <w:rPr>
          <w:rFonts w:ascii="Times New Roman"/>
        </w:rPr>
      </w:pPr>
      <w:bookmarkStart w:id="44" w:name="_Toc14166673"/>
      <w:r>
        <w:rPr>
          <w:rFonts w:hint="eastAsia" w:ascii="Times New Roman"/>
          <w:szCs w:val="22"/>
        </w:rPr>
        <w:t>本</w:t>
      </w:r>
      <w:r>
        <w:rPr>
          <w:rFonts w:hint="eastAsia" w:ascii="Times New Roman"/>
          <w:szCs w:val="22"/>
          <w:lang w:eastAsia="zh-CN"/>
        </w:rPr>
        <w:t>文件</w:t>
      </w:r>
      <w:r>
        <w:rPr>
          <w:rFonts w:hint="eastAsia" w:ascii="Times New Roman"/>
          <w:szCs w:val="22"/>
        </w:rPr>
        <w:t>适用于四川省境内非高危行业生产经营单位安全管理人员的安全生产知识考核。</w:t>
      </w:r>
      <w:bookmarkEnd w:id="44"/>
    </w:p>
    <w:p>
      <w:pPr>
        <w:pStyle w:val="34"/>
        <w:spacing w:before="312" w:after="312"/>
        <w:rPr>
          <w:rFonts w:ascii="Times New Roman"/>
        </w:rPr>
      </w:pPr>
      <w:bookmarkStart w:id="45" w:name="_Toc471479880"/>
      <w:bookmarkStart w:id="46" w:name="_Toc18537401"/>
      <w:r>
        <w:rPr>
          <w:rFonts w:ascii="Times New Roman"/>
        </w:rPr>
        <w:t>规范性引用文件</w:t>
      </w:r>
      <w:bookmarkEnd w:id="45"/>
      <w:bookmarkEnd w:id="46"/>
    </w:p>
    <w:p>
      <w:pPr>
        <w:pStyle w:val="26"/>
        <w:rPr>
          <w:rFonts w:ascii="Times New Roman"/>
          <w:szCs w:val="22"/>
        </w:rPr>
      </w:pPr>
      <w:r>
        <w:rPr>
          <w:rFonts w:hint="eastAsia" w:ascii="Times New Roman"/>
          <w:szCs w:val="22"/>
        </w:rPr>
        <w:t>下列文件中的</w:t>
      </w:r>
      <w:r>
        <w:rPr>
          <w:rFonts w:hint="eastAsia" w:ascii="Times New Roman"/>
          <w:szCs w:val="22"/>
          <w:lang w:eastAsia="zh-CN"/>
        </w:rPr>
        <w:t>内容</w:t>
      </w:r>
      <w:r>
        <w:rPr>
          <w:rFonts w:hint="eastAsia" w:ascii="Times New Roman"/>
          <w:szCs w:val="22"/>
        </w:rPr>
        <w:t>通过文中的引用而构成本</w:t>
      </w:r>
      <w:r>
        <w:rPr>
          <w:rFonts w:ascii="Times New Roman"/>
          <w:szCs w:val="22"/>
        </w:rPr>
        <w:t>文件</w:t>
      </w:r>
      <w:r>
        <w:rPr>
          <w:rFonts w:hint="eastAsia" w:ascii="Times New Roman"/>
          <w:szCs w:val="22"/>
        </w:rPr>
        <w:t>的条款。凡是注日期的引用文件，其随后所有的修改单（不包括勘误的内容）或修订版均不适用于本文件；凡是不注日期的引用文件，其最新版本适用于本文件。</w:t>
      </w:r>
    </w:p>
    <w:p>
      <w:pPr>
        <w:pStyle w:val="26"/>
        <w:rPr>
          <w:rFonts w:ascii="Times New Roman"/>
          <w:szCs w:val="22"/>
        </w:rPr>
      </w:pPr>
      <w:r>
        <w:rPr>
          <w:rFonts w:hint="eastAsia" w:ascii="Times New Roman"/>
          <w:szCs w:val="22"/>
        </w:rPr>
        <w:t>《安全生产培训管理办法》。</w:t>
      </w:r>
    </w:p>
    <w:p>
      <w:pPr>
        <w:pStyle w:val="26"/>
        <w:rPr>
          <w:rFonts w:ascii="Times New Roman"/>
        </w:rPr>
      </w:pPr>
      <w:r>
        <w:rPr>
          <w:rFonts w:hint="eastAsia" w:ascii="Times New Roman"/>
          <w:szCs w:val="22"/>
        </w:rPr>
        <w:t>《生产经营单位安全培训规定》。</w:t>
      </w:r>
    </w:p>
    <w:p>
      <w:pPr>
        <w:pStyle w:val="34"/>
        <w:spacing w:before="312" w:after="312"/>
        <w:rPr>
          <w:rFonts w:ascii="Times New Roman"/>
        </w:rPr>
      </w:pPr>
      <w:bookmarkStart w:id="47" w:name="_Toc18537402"/>
      <w:bookmarkStart w:id="48" w:name="_Toc471479881"/>
      <w:r>
        <w:rPr>
          <w:rFonts w:ascii="Times New Roman"/>
        </w:rPr>
        <w:t>术语和定义</w:t>
      </w:r>
      <w:bookmarkEnd w:id="47"/>
      <w:bookmarkEnd w:id="48"/>
    </w:p>
    <w:p>
      <w:pPr>
        <w:pStyle w:val="35"/>
        <w:numPr>
          <w:ilvl w:val="1"/>
          <w:numId w:val="0"/>
        </w:numPr>
        <w:bidi w:val="0"/>
        <w:rPr>
          <w:rFonts w:hint="eastAsia"/>
          <w:lang w:val="en-US" w:eastAsia="zh-CN"/>
        </w:rPr>
      </w:pPr>
      <w:bookmarkStart w:id="49" w:name="_Toc18537403"/>
      <w:bookmarkEnd w:id="49"/>
      <w:bookmarkStart w:id="50" w:name="_Toc13666945"/>
      <w:bookmarkEnd w:id="50"/>
      <w:bookmarkStart w:id="51" w:name="_Toc18537289"/>
      <w:bookmarkEnd w:id="51"/>
      <w:bookmarkStart w:id="52" w:name="_Toc14188825"/>
      <w:bookmarkEnd w:id="52"/>
      <w:bookmarkStart w:id="53" w:name="_Toc14183027"/>
      <w:bookmarkEnd w:id="53"/>
      <w:bookmarkStart w:id="54" w:name="_Toc471479883"/>
      <w:bookmarkStart w:id="55" w:name="_Hlk504118468"/>
      <w:bookmarkStart w:id="56" w:name="_Toc471479892"/>
      <w:r>
        <w:rPr>
          <w:rFonts w:hint="eastAsia"/>
          <w:lang w:val="en-US" w:eastAsia="zh-CN"/>
        </w:rPr>
        <w:t xml:space="preserve">3.1 </w:t>
      </w:r>
    </w:p>
    <w:p>
      <w:pPr>
        <w:pStyle w:val="35"/>
        <w:numPr>
          <w:ilvl w:val="1"/>
          <w:numId w:val="0"/>
        </w:numPr>
        <w:bidi w:val="0"/>
        <w:ind w:firstLine="420" w:firstLineChars="200"/>
      </w:pPr>
      <w:r>
        <w:rPr>
          <w:rFonts w:hint="eastAsia"/>
        </w:rPr>
        <w:t>高危行业生产经营单位   Corporation of high dangerous industry</w:t>
      </w:r>
      <w:bookmarkEnd w:id="54"/>
      <w:bookmarkEnd w:id="55"/>
      <w:bookmarkStart w:id="57" w:name="_Toc14188826"/>
      <w:bookmarkEnd w:id="57"/>
      <w:bookmarkStart w:id="58" w:name="_Toc14183028"/>
      <w:bookmarkEnd w:id="58"/>
      <w:bookmarkStart w:id="59" w:name="_Toc13666946"/>
      <w:bookmarkEnd w:id="59"/>
      <w:bookmarkStart w:id="60" w:name="_Toc18537290"/>
      <w:bookmarkEnd w:id="60"/>
      <w:bookmarkStart w:id="61" w:name="_Toc18537404"/>
      <w:bookmarkEnd w:id="61"/>
    </w:p>
    <w:p>
      <w:pPr>
        <w:ind w:firstLine="420" w:firstLineChars="200"/>
        <w:rPr>
          <w:rFonts w:ascii="宋体" w:hAnsi="宋体"/>
        </w:rPr>
      </w:pPr>
      <w:r>
        <w:rPr>
          <w:rFonts w:hint="eastAsia"/>
          <w:kern w:val="0"/>
          <w:szCs w:val="22"/>
        </w:rPr>
        <w:t>危险性系数较高、容易对人身造成伤害、对生产经营造成危害的生产经营单位。主要包括从事</w:t>
      </w:r>
      <w:r>
        <w:rPr>
          <w:rFonts w:hint="eastAsia" w:ascii="宋体" w:hAnsi="宋体"/>
        </w:rPr>
        <w:t>矿山、金属冶炼、建筑施工、道路运输单位和危险物品的生产、经营、储存单位。</w:t>
      </w:r>
    </w:p>
    <w:p>
      <w:pPr>
        <w:pStyle w:val="35"/>
        <w:numPr>
          <w:ilvl w:val="1"/>
          <w:numId w:val="0"/>
        </w:numPr>
        <w:bidi w:val="0"/>
        <w:rPr>
          <w:rFonts w:hint="eastAsia"/>
          <w:lang w:val="en-US" w:eastAsia="zh-CN"/>
        </w:rPr>
      </w:pPr>
      <w:r>
        <w:rPr>
          <w:rFonts w:hint="eastAsia"/>
          <w:lang w:val="en-US" w:eastAsia="zh-CN"/>
        </w:rPr>
        <w:t xml:space="preserve">3.2 </w:t>
      </w:r>
    </w:p>
    <w:p>
      <w:pPr>
        <w:pStyle w:val="35"/>
        <w:numPr>
          <w:ilvl w:val="1"/>
          <w:numId w:val="0"/>
        </w:numPr>
        <w:bidi w:val="0"/>
        <w:ind w:firstLine="420" w:firstLineChars="200"/>
        <w:rPr>
          <w:rFonts w:hint="eastAsia"/>
          <w:lang w:val="en-US" w:eastAsia="zh-CN"/>
        </w:rPr>
      </w:pPr>
      <w:r>
        <w:rPr>
          <w:rFonts w:hint="eastAsia"/>
          <w:lang w:val="en-US" w:eastAsia="zh-CN"/>
        </w:rPr>
        <w:t>非高危行业生产经营单位  Corporation of non-high dangerous industry</w:t>
      </w:r>
    </w:p>
    <w:p>
      <w:pPr>
        <w:widowControl/>
        <w:wordWrap w:val="0"/>
        <w:ind w:firstLine="420" w:firstLineChars="200"/>
        <w:jc w:val="left"/>
        <w:rPr>
          <w:rFonts w:ascii="宋体" w:hAnsi="宋体" w:cs="宋体"/>
          <w:bCs/>
          <w:kern w:val="0"/>
          <w:szCs w:val="21"/>
        </w:rPr>
      </w:pPr>
      <w:bookmarkStart w:id="62" w:name="_Toc14188827"/>
      <w:bookmarkEnd w:id="62"/>
      <w:bookmarkStart w:id="63" w:name="_Toc18537291"/>
      <w:bookmarkEnd w:id="63"/>
      <w:bookmarkStart w:id="64" w:name="_Toc18537405"/>
      <w:bookmarkEnd w:id="64"/>
      <w:bookmarkStart w:id="65" w:name="_Toc13666947"/>
      <w:bookmarkEnd w:id="65"/>
      <w:bookmarkStart w:id="66" w:name="_Toc14183029"/>
      <w:bookmarkEnd w:id="66"/>
      <w:bookmarkStart w:id="67" w:name="_Toc471479891"/>
      <w:r>
        <w:rPr>
          <w:rFonts w:hint="eastAsia" w:ascii="宋体" w:hAnsi="宋体" w:cs="宋体"/>
          <w:bCs/>
          <w:kern w:val="0"/>
          <w:szCs w:val="21"/>
        </w:rPr>
        <w:t>除高危行业生产经营单位以外的（不需进行安全生产许可的）所有生产经营单位及其他经济组织。</w:t>
      </w:r>
    </w:p>
    <w:bookmarkEnd w:id="67"/>
    <w:p>
      <w:pPr>
        <w:pStyle w:val="35"/>
        <w:numPr>
          <w:ilvl w:val="1"/>
          <w:numId w:val="0"/>
        </w:numPr>
        <w:bidi w:val="0"/>
        <w:rPr>
          <w:rFonts w:hint="eastAsia"/>
          <w:lang w:val="en-US" w:eastAsia="zh-CN"/>
        </w:rPr>
      </w:pPr>
      <w:r>
        <w:rPr>
          <w:rFonts w:hint="eastAsia"/>
          <w:lang w:val="en-US" w:eastAsia="zh-CN"/>
        </w:rPr>
        <w:t xml:space="preserve">3.3 </w:t>
      </w:r>
    </w:p>
    <w:p>
      <w:pPr>
        <w:pStyle w:val="35"/>
        <w:numPr>
          <w:ilvl w:val="1"/>
          <w:numId w:val="0"/>
        </w:numPr>
        <w:bidi w:val="0"/>
        <w:ind w:left="561" w:leftChars="267" w:firstLine="0" w:firstLineChars="0"/>
      </w:pPr>
      <w:r>
        <w:rPr>
          <w:rFonts w:hint="eastAsia"/>
        </w:rPr>
        <w:t>非高危行业生产经营单位安全生产管理人员  Safety manager in corporation of non-high dangerous industry</w:t>
      </w:r>
    </w:p>
    <w:p>
      <w:pPr>
        <w:pStyle w:val="35"/>
        <w:numPr>
          <w:ilvl w:val="0"/>
          <w:numId w:val="0"/>
        </w:numPr>
        <w:spacing w:before="156" w:after="156"/>
        <w:ind w:left="141" w:leftChars="67" w:firstLine="420" w:firstLineChars="200"/>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非高危行业生产经营单位（以下简称生产经营单位）安全生产管理人员是指生产经营单位分管安全生产的负责人、安全生产管理机构负责人及其管理人员，以及未设安全生产管理机构的生产经营单位专、兼职安全生产管理人员等。</w:t>
      </w:r>
    </w:p>
    <w:bookmarkEnd w:id="56"/>
    <w:p>
      <w:pPr>
        <w:pStyle w:val="35"/>
        <w:numPr>
          <w:ilvl w:val="0"/>
          <w:numId w:val="0"/>
        </w:numPr>
        <w:spacing w:before="156" w:after="156"/>
        <w:outlineLvl w:val="9"/>
        <w:rPr>
          <w:rFonts w:hint="eastAsia" w:ascii="黑体" w:hAnsi="黑体" w:eastAsia="黑体" w:cs="黑体"/>
          <w:lang w:val="en-US" w:eastAsia="zh-CN"/>
        </w:rPr>
      </w:pPr>
      <w:r>
        <w:rPr>
          <w:rFonts w:hint="eastAsia" w:ascii="黑体" w:hAnsi="黑体" w:eastAsia="黑体" w:cs="黑体"/>
          <w:lang w:val="en-US" w:eastAsia="zh-CN"/>
        </w:rPr>
        <w:t>3.4</w:t>
      </w:r>
    </w:p>
    <w:p>
      <w:pPr>
        <w:pStyle w:val="35"/>
        <w:numPr>
          <w:ilvl w:val="0"/>
          <w:numId w:val="0"/>
        </w:numPr>
        <w:spacing w:before="156" w:after="156"/>
        <w:ind w:firstLine="420" w:firstLineChars="200"/>
        <w:outlineLvl w:val="9"/>
        <w:rPr>
          <w:rFonts w:hint="default"/>
          <w:lang w:val="en-US" w:eastAsia="zh-CN"/>
        </w:rPr>
      </w:pPr>
      <w:r>
        <w:rPr>
          <w:rFonts w:hint="eastAsia"/>
          <w:lang w:val="en-US" w:eastAsia="zh-CN"/>
        </w:rPr>
        <w:t xml:space="preserve">了解 </w:t>
      </w:r>
      <w:r>
        <w:rPr>
          <w:rFonts w:hint="eastAsia" w:ascii="黑体" w:hAnsi="黑体" w:eastAsia="黑体" w:cs="黑体"/>
          <w:lang w:val="en-US" w:eastAsia="zh-CN"/>
        </w:rPr>
        <w:t xml:space="preserve"> </w:t>
      </w:r>
      <w:r>
        <w:rPr>
          <w:rFonts w:hint="eastAsia"/>
          <w:lang w:val="en-US" w:eastAsia="zh-CN"/>
        </w:rPr>
        <w:t>Understand</w:t>
      </w:r>
    </w:p>
    <w:p>
      <w:pPr>
        <w:pStyle w:val="35"/>
        <w:numPr>
          <w:ilvl w:val="0"/>
          <w:numId w:val="0"/>
        </w:numPr>
        <w:spacing w:before="156" w:after="156"/>
        <w:ind w:firstLine="420" w:firstLineChars="200"/>
        <w:outlineLvl w:val="9"/>
        <w:rPr>
          <w:rFonts w:hint="eastAsia" w:cs="Times New Roman" w:asciiTheme="minorEastAsia" w:hAnsiTheme="minorEastAsia" w:eastAsiaTheme="minorEastAsia"/>
          <w:kern w:val="2"/>
          <w:sz w:val="21"/>
          <w:szCs w:val="21"/>
          <w:lang w:val="en-US" w:eastAsia="zh-CN" w:bidi="ar-SA"/>
        </w:rPr>
      </w:pPr>
      <w:r>
        <w:rPr>
          <w:rFonts w:hint="eastAsia" w:ascii="黑体" w:hAnsi="黑体" w:eastAsia="黑体" w:cs="黑体"/>
          <w:lang w:val="en-US" w:eastAsia="zh-CN"/>
        </w:rPr>
        <w:t>能正确理</w:t>
      </w:r>
      <w:r>
        <w:rPr>
          <w:rFonts w:hint="eastAsia" w:cs="Times New Roman" w:asciiTheme="minorEastAsia" w:hAnsiTheme="minorEastAsia" w:eastAsiaTheme="minorEastAsia"/>
          <w:kern w:val="2"/>
          <w:sz w:val="21"/>
          <w:szCs w:val="21"/>
          <w:lang w:val="en-US" w:eastAsia="zh-CN" w:bidi="ar-SA"/>
        </w:rPr>
        <w:t>解本文件所列知识的含义、内容并能够应用。</w:t>
      </w:r>
    </w:p>
    <w:p>
      <w:pPr>
        <w:pStyle w:val="38"/>
        <w:spacing w:before="156" w:after="156"/>
        <w:rPr>
          <w:rFonts w:hint="eastAsia"/>
          <w:lang w:val="en-US" w:eastAsia="zh-CN"/>
        </w:rPr>
      </w:pPr>
      <w:r>
        <w:rPr>
          <w:rFonts w:hint="eastAsia"/>
          <w:lang w:val="en-US" w:eastAsia="zh-CN"/>
        </w:rPr>
        <w:t>3</w:t>
      </w:r>
      <w:r>
        <w:t>.</w:t>
      </w:r>
      <w:r>
        <w:rPr>
          <w:rFonts w:hint="eastAsia"/>
          <w:lang w:val="en-US" w:eastAsia="zh-CN"/>
        </w:rPr>
        <w:t>5</w:t>
      </w:r>
    </w:p>
    <w:p>
      <w:pPr>
        <w:pStyle w:val="35"/>
        <w:numPr>
          <w:ilvl w:val="0"/>
          <w:numId w:val="0"/>
        </w:numPr>
        <w:spacing w:before="156" w:after="156"/>
        <w:ind w:left="420" w:leftChars="200" w:firstLine="0" w:firstLineChars="0"/>
        <w:outlineLvl w:val="9"/>
        <w:rPr>
          <w:rFonts w:hint="default" w:ascii="黑体" w:hAnsi="黑体" w:eastAsia="黑体" w:cs="黑体"/>
          <w:lang w:val="en-US" w:eastAsia="zh-CN"/>
        </w:rPr>
      </w:pPr>
      <w:r>
        <w:rPr>
          <w:rFonts w:hint="eastAsia" w:ascii="黑体" w:hAnsi="黑体" w:eastAsia="黑体" w:cs="黑体"/>
          <w:lang w:val="en-US" w:eastAsia="zh-CN"/>
        </w:rPr>
        <w:t>熟悉</w:t>
      </w:r>
      <w:r>
        <w:rPr>
          <w:rFonts w:hint="eastAsia" w:hAnsi="黑体" w:cs="黑体"/>
          <w:lang w:val="en-US" w:eastAsia="zh-CN"/>
        </w:rPr>
        <w:t xml:space="preserve">  Familiar  with </w:t>
      </w:r>
    </w:p>
    <w:p>
      <w:pPr>
        <w:pStyle w:val="35"/>
        <w:numPr>
          <w:ilvl w:val="0"/>
          <w:numId w:val="0"/>
        </w:numPr>
        <w:spacing w:before="156" w:after="156"/>
        <w:ind w:left="420" w:leftChars="200" w:firstLine="0" w:firstLineChars="0"/>
        <w:outlineLvl w:val="9"/>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对本文件所列知识有较深的认识，能够分析、解释，并应用相关知识解决问题。</w:t>
      </w:r>
    </w:p>
    <w:p>
      <w:pPr>
        <w:pStyle w:val="35"/>
        <w:numPr>
          <w:ilvl w:val="0"/>
          <w:numId w:val="0"/>
        </w:numPr>
        <w:spacing w:before="156" w:after="156"/>
        <w:outlineLvl w:val="9"/>
        <w:rPr>
          <w:rFonts w:hint="eastAsia" w:ascii="黑体" w:eastAsia="黑体"/>
          <w:kern w:val="0"/>
          <w:szCs w:val="21"/>
          <w:lang w:val="en-US" w:eastAsia="zh-CN"/>
        </w:rPr>
      </w:pPr>
      <w:r>
        <w:rPr>
          <w:rFonts w:hint="eastAsia" w:ascii="黑体" w:eastAsia="黑体"/>
          <w:kern w:val="0"/>
          <w:szCs w:val="21"/>
          <w:lang w:val="en-US" w:eastAsia="zh-CN"/>
        </w:rPr>
        <w:t>3</w:t>
      </w:r>
      <w:r>
        <w:rPr>
          <w:rFonts w:hint="eastAsia" w:ascii="黑体" w:eastAsia="黑体"/>
          <w:kern w:val="0"/>
          <w:szCs w:val="21"/>
        </w:rPr>
        <w:t>.</w:t>
      </w:r>
      <w:r>
        <w:rPr>
          <w:rFonts w:hint="eastAsia" w:ascii="黑体" w:eastAsia="黑体"/>
          <w:kern w:val="0"/>
          <w:szCs w:val="21"/>
          <w:lang w:val="en-US" w:eastAsia="zh-CN"/>
        </w:rPr>
        <w:t>6</w:t>
      </w:r>
    </w:p>
    <w:p>
      <w:pPr>
        <w:pStyle w:val="35"/>
        <w:numPr>
          <w:ilvl w:val="0"/>
          <w:numId w:val="0"/>
        </w:numPr>
        <w:spacing w:before="156" w:after="156"/>
        <w:ind w:left="420" w:leftChars="200" w:firstLine="0" w:firstLineChars="0"/>
        <w:outlineLvl w:val="9"/>
        <w:rPr>
          <w:rFonts w:hint="default" w:ascii="黑体" w:hAnsi="黑体" w:eastAsia="黑体" w:cs="黑体"/>
          <w:lang w:val="en-US" w:eastAsia="zh-CN"/>
        </w:rPr>
      </w:pPr>
      <w:r>
        <w:rPr>
          <w:rFonts w:hint="eastAsia" w:ascii="黑体" w:hAnsi="黑体" w:eastAsia="黑体" w:cs="黑体"/>
          <w:lang w:val="en-US" w:eastAsia="zh-CN"/>
        </w:rPr>
        <w:t>掌握</w:t>
      </w:r>
      <w:r>
        <w:rPr>
          <w:rFonts w:hint="eastAsia" w:hAnsi="黑体" w:cs="黑体"/>
          <w:lang w:val="en-US" w:eastAsia="zh-CN"/>
        </w:rPr>
        <w:t xml:space="preserve">  Master</w:t>
      </w:r>
    </w:p>
    <w:p>
      <w:pPr>
        <w:pStyle w:val="35"/>
        <w:numPr>
          <w:ilvl w:val="0"/>
          <w:numId w:val="0"/>
        </w:numPr>
        <w:spacing w:before="156" w:after="156"/>
        <w:ind w:left="420" w:leftChars="200" w:firstLine="0" w:firstLineChars="0"/>
        <w:outlineLvl w:val="9"/>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对本文件所列知识有全面、深刻的认识，能够综合分析、解决较为复杂的相关问题。</w:t>
      </w:r>
    </w:p>
    <w:p>
      <w:pPr>
        <w:pStyle w:val="34"/>
        <w:spacing w:before="312" w:after="312"/>
      </w:pPr>
      <w:bookmarkStart w:id="68" w:name="_Toc18537409"/>
      <w:r>
        <w:rPr>
          <w:rFonts w:hint="eastAsia" w:ascii="Times New Roman"/>
        </w:rPr>
        <w:t>考核大纲</w:t>
      </w:r>
      <w:bookmarkEnd w:id="68"/>
    </w:p>
    <w:p>
      <w:pPr>
        <w:pStyle w:val="35"/>
        <w:spacing w:before="156" w:after="156"/>
        <w:ind w:left="0"/>
      </w:pPr>
      <w:r>
        <w:rPr>
          <w:rFonts w:hint="eastAsia"/>
        </w:rPr>
        <w:t>安全生产法律法规、标准规程及规范性文件考核内容</w:t>
      </w:r>
    </w:p>
    <w:p>
      <w:pPr>
        <w:spacing w:line="500" w:lineRule="exact"/>
        <w:rPr>
          <w:rFonts w:eastAsia="华文中宋"/>
          <w:b/>
          <w:sz w:val="24"/>
        </w:rPr>
      </w:pPr>
      <w:r>
        <w:rPr>
          <w:rFonts w:hint="eastAsia" w:ascii="黑体" w:eastAsia="黑体"/>
          <w:szCs w:val="21"/>
        </w:rPr>
        <w:t>4.1.1</w:t>
      </w:r>
      <w:r>
        <w:rPr>
          <w:rFonts w:hint="eastAsia" w:ascii="黑体" w:eastAsia="黑体"/>
          <w:szCs w:val="21"/>
          <w:lang w:val="en-US" w:eastAsia="zh-CN"/>
        </w:rPr>
        <w:t xml:space="preserve">  </w:t>
      </w:r>
      <w:r>
        <w:rPr>
          <w:rFonts w:hint="eastAsia"/>
          <w:szCs w:val="22"/>
        </w:rPr>
        <w:t>了解我国</w:t>
      </w:r>
      <w:r>
        <w:rPr>
          <w:rFonts w:hint="eastAsia" w:asciiTheme="minorEastAsia" w:hAnsiTheme="minorEastAsia" w:eastAsiaTheme="minorEastAsia"/>
          <w:szCs w:val="21"/>
        </w:rPr>
        <w:t>法律法规基础知识，以及安全生产立法的必要性和意义；了解</w:t>
      </w:r>
      <w:r>
        <w:rPr>
          <w:rFonts w:hint="eastAsia"/>
          <w:szCs w:val="22"/>
        </w:rPr>
        <w:t>本行业的安全生产特点及安全生产形势。</w:t>
      </w:r>
    </w:p>
    <w:p>
      <w:pPr>
        <w:pStyle w:val="38"/>
        <w:spacing w:before="156" w:after="156"/>
        <w:rPr>
          <w:rFonts w:ascii="Times New Roman" w:eastAsia="宋体"/>
          <w:szCs w:val="22"/>
        </w:rPr>
      </w:pPr>
      <w:r>
        <w:rPr>
          <w:rFonts w:hint="eastAsia" w:hAnsi="黑体"/>
          <w:szCs w:val="22"/>
        </w:rPr>
        <w:t xml:space="preserve">4.1.2 </w:t>
      </w:r>
      <w:r>
        <w:rPr>
          <w:rFonts w:hint="eastAsia" w:hAnsi="黑体"/>
          <w:szCs w:val="22"/>
          <w:lang w:val="en-US" w:eastAsia="zh-CN"/>
        </w:rPr>
        <w:t xml:space="preserve"> </w:t>
      </w:r>
      <w:r>
        <w:rPr>
          <w:rFonts w:hint="eastAsia" w:ascii="Times New Roman" w:eastAsia="宋体"/>
          <w:szCs w:val="22"/>
        </w:rPr>
        <w:t>了解我国法律法规基础知识及</w:t>
      </w:r>
      <w:r>
        <w:rPr>
          <w:rFonts w:hint="eastAsia" w:asciiTheme="minorEastAsia" w:hAnsiTheme="minorEastAsia" w:eastAsiaTheme="minorEastAsia"/>
        </w:rPr>
        <w:t>法律法规体系，</w:t>
      </w:r>
      <w:r>
        <w:rPr>
          <w:rFonts w:hint="eastAsia" w:asciiTheme="minorEastAsia" w:hAnsiTheme="minorEastAsia" w:eastAsiaTheme="minorEastAsia"/>
          <w:szCs w:val="22"/>
        </w:rPr>
        <w:t>熟悉我国安全生产方针、政策。</w:t>
      </w:r>
    </w:p>
    <w:p>
      <w:pPr>
        <w:pStyle w:val="38"/>
        <w:spacing w:before="156" w:after="156"/>
        <w:rPr>
          <w:rFonts w:ascii="宋体" w:hAnsi="宋体" w:eastAsia="宋体"/>
        </w:rPr>
      </w:pPr>
      <w:r>
        <w:rPr>
          <w:rFonts w:hint="eastAsia" w:hAnsi="黑体"/>
          <w:szCs w:val="22"/>
        </w:rPr>
        <w:t>4.1.3</w:t>
      </w:r>
      <w:r>
        <w:rPr>
          <w:rFonts w:hint="eastAsia" w:hAnsi="黑体"/>
          <w:szCs w:val="22"/>
          <w:lang w:val="en-US" w:eastAsia="zh-CN"/>
        </w:rPr>
        <w:t xml:space="preserve">  </w:t>
      </w:r>
      <w:r>
        <w:rPr>
          <w:rFonts w:hint="eastAsia" w:hAnsi="黑体"/>
          <w:szCs w:val="22"/>
        </w:rPr>
        <w:t xml:space="preserve"> </w:t>
      </w:r>
      <w:r>
        <w:rPr>
          <w:rFonts w:hint="eastAsia" w:asciiTheme="minorEastAsia" w:hAnsiTheme="minorEastAsia" w:eastAsiaTheme="minorEastAsia"/>
          <w:szCs w:val="22"/>
        </w:rPr>
        <w:t>熟悉</w:t>
      </w:r>
      <w:r>
        <w:rPr>
          <w:rFonts w:hint="eastAsia" w:ascii="宋体" w:hAnsi="宋体" w:eastAsia="宋体"/>
        </w:rPr>
        <w:t>《中华人民共和国安全生产法》《中华人民共和国消防法》《中华人民共和国突发事件应对法》《生产安全事故报告和调查处理条例》《工伤保险条例》《生产安全事故应急预案管理办法》《四川省安全生产条例》《四川省生产经营单位安全生产责任规定》等相关法律法规对企业安全生产条件保障的规定；掌握本企业生产经营过程中涉及到的安全生产法律法规的相关条款要求。</w:t>
      </w:r>
    </w:p>
    <w:p>
      <w:pPr>
        <w:pStyle w:val="38"/>
        <w:spacing w:before="156" w:after="156"/>
        <w:rPr>
          <w:rFonts w:ascii="宋体" w:hAnsi="宋体" w:eastAsia="宋体"/>
        </w:rPr>
      </w:pPr>
      <w:r>
        <w:rPr>
          <w:rFonts w:hint="eastAsia" w:hAnsi="黑体"/>
        </w:rPr>
        <w:t xml:space="preserve">4.1.4 </w:t>
      </w:r>
      <w:r>
        <w:rPr>
          <w:rFonts w:hint="eastAsia" w:hAnsi="黑体"/>
          <w:lang w:val="en-US" w:eastAsia="zh-CN"/>
        </w:rPr>
        <w:t xml:space="preserve">  </w:t>
      </w:r>
      <w:r>
        <w:rPr>
          <w:rFonts w:hint="eastAsia" w:asciiTheme="minorEastAsia" w:hAnsiTheme="minorEastAsia" w:eastAsiaTheme="minorEastAsia"/>
        </w:rPr>
        <w:t>掌握安全管理人员的安全生产职责，以及</w:t>
      </w:r>
      <w:r>
        <w:rPr>
          <w:rFonts w:hint="eastAsia" w:ascii="宋体" w:hAnsi="宋体" w:eastAsia="宋体"/>
        </w:rPr>
        <w:t>从业人员安全生产的权利和义务。</w:t>
      </w:r>
    </w:p>
    <w:p>
      <w:pPr>
        <w:pStyle w:val="38"/>
        <w:spacing w:before="156" w:after="156"/>
        <w:rPr>
          <w:rFonts w:ascii="Times New Roman" w:hAnsiTheme="minorEastAsia" w:eastAsiaTheme="minorEastAsia"/>
          <w:szCs w:val="22"/>
        </w:rPr>
      </w:pPr>
      <w:r>
        <w:rPr>
          <w:rFonts w:hint="eastAsia"/>
        </w:rPr>
        <w:t xml:space="preserve">4.1.5 </w:t>
      </w:r>
      <w:r>
        <w:rPr>
          <w:rFonts w:hint="eastAsia"/>
          <w:lang w:val="en-US" w:eastAsia="zh-CN"/>
        </w:rPr>
        <w:t xml:space="preserve">  </w:t>
      </w:r>
      <w:r>
        <w:rPr>
          <w:rFonts w:hint="eastAsia" w:ascii="宋体" w:hAnsi="宋体" w:eastAsia="宋体"/>
        </w:rPr>
        <w:t>熟悉本行业企业的安全生产标准及规范；掌握</w:t>
      </w:r>
      <w:r>
        <w:rPr>
          <w:rFonts w:ascii="Times New Roman" w:hAnsiTheme="minorEastAsia" w:eastAsiaTheme="minorEastAsia"/>
          <w:szCs w:val="22"/>
        </w:rPr>
        <w:t>《安全色》（</w:t>
      </w:r>
      <w:r>
        <w:rPr>
          <w:rFonts w:ascii="Times New Roman" w:eastAsiaTheme="minorEastAsia"/>
          <w:szCs w:val="22"/>
        </w:rPr>
        <w:t>GB 2893</w:t>
      </w:r>
      <w:r>
        <w:rPr>
          <w:rFonts w:ascii="Times New Roman" w:hAnsiTheme="minorEastAsia" w:eastAsiaTheme="minorEastAsia"/>
          <w:szCs w:val="22"/>
        </w:rPr>
        <w:t>）、《</w:t>
      </w:r>
      <w:r>
        <w:rPr>
          <w:rFonts w:hint="eastAsia" w:ascii="Times New Roman" w:hAnsiTheme="minorEastAsia" w:eastAsiaTheme="minorEastAsia"/>
          <w:szCs w:val="22"/>
        </w:rPr>
        <w:t>建筑设计防火规范</w:t>
      </w:r>
      <w:r>
        <w:rPr>
          <w:rFonts w:ascii="Times New Roman" w:hAnsiTheme="minorEastAsia" w:eastAsiaTheme="minorEastAsia"/>
          <w:szCs w:val="22"/>
        </w:rPr>
        <w:t>》（</w:t>
      </w:r>
      <w:r>
        <w:rPr>
          <w:rFonts w:hint="eastAsia" w:ascii="Times New Roman" w:hAnsiTheme="minorEastAsia" w:eastAsiaTheme="minorEastAsia"/>
          <w:szCs w:val="22"/>
        </w:rPr>
        <w:t>GB50016</w:t>
      </w:r>
      <w:r>
        <w:rPr>
          <w:rFonts w:ascii="Times New Roman" w:hAnsiTheme="minorEastAsia" w:eastAsiaTheme="minorEastAsia"/>
          <w:szCs w:val="22"/>
        </w:rPr>
        <w:t>）、《建筑灭火器配置设计规范》（</w:t>
      </w:r>
      <w:r>
        <w:rPr>
          <w:rFonts w:ascii="Times New Roman" w:eastAsiaTheme="minorEastAsia"/>
          <w:szCs w:val="22"/>
        </w:rPr>
        <w:t>GB 50140</w:t>
      </w:r>
      <w:r>
        <w:rPr>
          <w:rFonts w:ascii="Times New Roman" w:hAnsiTheme="minorEastAsia" w:eastAsiaTheme="minorEastAsia"/>
          <w:szCs w:val="22"/>
        </w:rPr>
        <w:t>）、《起重机械安全规程》（</w:t>
      </w:r>
      <w:r>
        <w:rPr>
          <w:rFonts w:ascii="Times New Roman" w:eastAsiaTheme="minorEastAsia"/>
          <w:szCs w:val="22"/>
        </w:rPr>
        <w:t>GB/T 6067</w:t>
      </w:r>
      <w:r>
        <w:rPr>
          <w:rFonts w:ascii="Times New Roman" w:hAnsiTheme="minorEastAsia" w:eastAsiaTheme="minorEastAsia"/>
          <w:szCs w:val="22"/>
        </w:rPr>
        <w:t>）、《安全帽》（</w:t>
      </w:r>
      <w:r>
        <w:rPr>
          <w:rFonts w:ascii="Times New Roman" w:eastAsiaTheme="minorEastAsia"/>
          <w:szCs w:val="22"/>
        </w:rPr>
        <w:t>GB 2811</w:t>
      </w:r>
      <w:r>
        <w:rPr>
          <w:rFonts w:ascii="Times New Roman" w:hAnsiTheme="minorEastAsia" w:eastAsiaTheme="minorEastAsia"/>
          <w:szCs w:val="22"/>
        </w:rPr>
        <w:t>）</w:t>
      </w:r>
      <w:r>
        <w:rPr>
          <w:rFonts w:hint="eastAsia" w:ascii="Times New Roman" w:hAnsiTheme="minorEastAsia" w:eastAsiaTheme="minorEastAsia"/>
          <w:szCs w:val="22"/>
        </w:rPr>
        <w:t>等通用性安全技术标准涉及到本企业的相关条款规定。掌握与本企业生产经营活动相关的其他专业性技术规范的相关条款规定。</w:t>
      </w:r>
    </w:p>
    <w:p>
      <w:pPr>
        <w:pStyle w:val="38"/>
        <w:spacing w:before="156" w:after="156"/>
        <w:rPr>
          <w:rFonts w:ascii="Times New Roman" w:eastAsiaTheme="minorEastAsia"/>
        </w:rPr>
      </w:pPr>
      <w:r>
        <w:rPr>
          <w:rFonts w:hint="eastAsia" w:hAnsi="黑体"/>
        </w:rPr>
        <w:t>4.1.6</w:t>
      </w:r>
      <w:r>
        <w:rPr>
          <w:rFonts w:hint="eastAsia" w:hAnsi="黑体"/>
          <w:lang w:val="en-US" w:eastAsia="zh-CN"/>
        </w:rPr>
        <w:t xml:space="preserve">  </w:t>
      </w:r>
      <w:r>
        <w:rPr>
          <w:rFonts w:hint="eastAsia" w:ascii="宋体" w:hAnsi="宋体" w:eastAsia="宋体"/>
        </w:rPr>
        <w:t>掌握本企业涉及到的安全生产规章、规定及规范性文件的要求；以及相关的国家标准、行业标准和地方标准的相关条款要求。</w:t>
      </w:r>
    </w:p>
    <w:p>
      <w:pPr>
        <w:pStyle w:val="35"/>
        <w:spacing w:before="156" w:after="156"/>
        <w:ind w:left="0"/>
      </w:pPr>
      <w:r>
        <w:rPr>
          <w:rFonts w:hint="eastAsia" w:ascii="宋体" w:hAnsi="宋体"/>
          <w:color w:val="000000"/>
        </w:rPr>
        <w:t>安全生产管理知识考核要求</w:t>
      </w:r>
    </w:p>
    <w:p>
      <w:pPr>
        <w:pStyle w:val="38"/>
        <w:numPr>
          <w:ilvl w:val="0"/>
          <w:numId w:val="0"/>
        </w:numPr>
        <w:spacing w:before="156" w:after="156"/>
        <w:rPr>
          <w:rFonts w:hint="eastAsia" w:ascii="黑体" w:hAnsi="黑体" w:eastAsia="黑体" w:cs="黑体"/>
        </w:rPr>
      </w:pPr>
      <w:r>
        <w:rPr>
          <w:rFonts w:hint="eastAsia"/>
        </w:rPr>
        <w:t>4.2.1</w:t>
      </w:r>
      <w:r>
        <w:rPr>
          <w:rFonts w:hint="eastAsia"/>
          <w:lang w:val="en-US" w:eastAsia="zh-CN"/>
        </w:rPr>
        <w:t xml:space="preserve">  </w:t>
      </w:r>
      <w:r>
        <w:rPr>
          <w:rFonts w:hint="eastAsia" w:ascii="黑体" w:hAnsi="黑体" w:eastAsia="黑体" w:cs="黑体"/>
        </w:rPr>
        <w:t>安全生产责任制与安全管理规章制度考核要求</w:t>
      </w:r>
    </w:p>
    <w:p>
      <w:pPr>
        <w:ind w:firstLine="420" w:firstLineChars="200"/>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rPr>
        <w:t>熟悉安全生产法律法规对安全生产责任制、安全生产管理制度及安全技术操作规程的具体要求；</w:t>
      </w:r>
    </w:p>
    <w:p>
      <w:pPr>
        <w:ind w:firstLine="420" w:firstLineChars="200"/>
        <w:rPr>
          <w:rFonts w:hint="eastAsia"/>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rPr>
        <w:t>掌握安全生产责任制的意义、内容及建立健全安全生产责任体系的编制要求；</w:t>
      </w:r>
    </w:p>
    <w:p>
      <w:pPr>
        <w:ind w:firstLine="420" w:firstLineChars="200"/>
        <w:rPr>
          <w:rFonts w:hint="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rPr>
        <w:t>掌握建设完善企业安全生产管理组织体系、安全目标管理体系及安全考核等要求；</w:t>
      </w:r>
    </w:p>
    <w:p>
      <w:pPr>
        <w:ind w:firstLine="420" w:firstLineChars="200"/>
        <w:rPr>
          <w:rFonts w:hAnsi="宋体"/>
          <w:color w:val="000000"/>
          <w:szCs w:val="21"/>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hAnsi="宋体"/>
          <w:color w:val="000000"/>
          <w:szCs w:val="21"/>
        </w:rPr>
        <w:t>掌握</w:t>
      </w:r>
      <w:r>
        <w:rPr>
          <w:rFonts w:hint="eastAsia"/>
        </w:rPr>
        <w:t>安全生产管理规章制度的内容、作用及编制要求。</w:t>
      </w:r>
    </w:p>
    <w:p>
      <w:pPr>
        <w:ind w:firstLine="420" w:firstLineChars="200"/>
        <w:rPr>
          <w:rFonts w:hAnsi="宋体"/>
          <w:color w:val="000000"/>
          <w:szCs w:val="21"/>
        </w:rPr>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val="en-US" w:eastAsia="zh-CN"/>
        </w:rPr>
        <w:t xml:space="preserve"> </w:t>
      </w:r>
      <w:r>
        <w:rPr>
          <w:rFonts w:hint="eastAsia"/>
        </w:rPr>
        <w:t>掌握</w:t>
      </w:r>
      <w:r>
        <w:rPr>
          <w:rFonts w:hint="eastAsia" w:hAnsi="宋体"/>
          <w:color w:val="000000"/>
          <w:szCs w:val="21"/>
        </w:rPr>
        <w:t>安全生产技术操作规程的内容、作用及编制要求；</w:t>
      </w:r>
    </w:p>
    <w:p>
      <w:pPr>
        <w:ind w:firstLine="420" w:firstLineChars="200"/>
      </w:pPr>
      <w:r>
        <w:rPr>
          <w:rFonts w:hint="eastAsia" w:asciiTheme="minorEastAsia" w:hAnsiTheme="minorEastAsia" w:eastAsiaTheme="minorEastAsia" w:cstheme="minorEastAsia"/>
        </w:rPr>
        <w:t>f）</w:t>
      </w:r>
      <w:r>
        <w:rPr>
          <w:rFonts w:hint="eastAsia" w:asciiTheme="minorEastAsia" w:hAnsiTheme="minorEastAsia" w:eastAsiaTheme="minorEastAsia" w:cstheme="minorEastAsia"/>
          <w:lang w:val="en-US" w:eastAsia="zh-CN"/>
        </w:rPr>
        <w:t xml:space="preserve"> </w:t>
      </w:r>
      <w:r>
        <w:rPr>
          <w:rFonts w:hint="eastAsia"/>
        </w:rPr>
        <w:t>掌握安全标准化体系建设的方式及内容</w:t>
      </w:r>
    </w:p>
    <w:p>
      <w:pPr>
        <w:pStyle w:val="38"/>
        <w:spacing w:before="156" w:after="156"/>
        <w:rPr>
          <w:rFonts w:hint="eastAsia" w:ascii="黑体" w:hAnsi="黑体" w:eastAsia="黑体" w:cs="黑体"/>
        </w:rPr>
      </w:pPr>
      <w:r>
        <w:rPr>
          <w:rFonts w:hint="eastAsia" w:hAnsi="黑体"/>
          <w:color w:val="000000"/>
        </w:rPr>
        <w:t>4.2.2</w:t>
      </w:r>
      <w:r>
        <w:rPr>
          <w:rFonts w:hint="eastAsia" w:hAnsi="黑体"/>
          <w:color w:val="000000"/>
          <w:lang w:val="en-US" w:eastAsia="zh-CN"/>
        </w:rPr>
        <w:t xml:space="preserve">  </w:t>
      </w:r>
      <w:r>
        <w:rPr>
          <w:rFonts w:hint="eastAsia" w:ascii="黑体" w:hAnsi="黑体" w:eastAsia="黑体" w:cs="黑体"/>
          <w:color w:val="000000"/>
        </w:rPr>
        <w:t>现场安全管理及安全检查考核要求</w:t>
      </w:r>
    </w:p>
    <w:p>
      <w:pPr>
        <w:ind w:firstLine="420" w:firstLineChars="200"/>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rPr>
        <w:t>熟悉</w:t>
      </w:r>
      <w:r>
        <w:t>本行业生产经营过程中主要涉及到的危险有害因素、重大危险源；</w:t>
      </w:r>
    </w:p>
    <w:p>
      <w:pPr>
        <w:ind w:firstLine="420" w:firstLineChars="200"/>
        <w:rPr>
          <w:szCs w:val="22"/>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t>掌握本企业生产经营过程中主要危险有害因素、重大危险源的辨识方法及辨识工具；能熟练运用</w:t>
      </w:r>
      <w:r>
        <w:rPr>
          <w:rFonts w:hAnsi="宋体"/>
          <w:color w:val="000000"/>
          <w:szCs w:val="21"/>
        </w:rPr>
        <w:t>危险源辨识方法，工作危害分析法（</w:t>
      </w:r>
      <w:r>
        <w:rPr>
          <w:color w:val="000000"/>
          <w:szCs w:val="21"/>
        </w:rPr>
        <w:t>JHA</w:t>
      </w:r>
      <w:r>
        <w:rPr>
          <w:rFonts w:hAnsi="宋体"/>
          <w:color w:val="000000"/>
          <w:szCs w:val="21"/>
        </w:rPr>
        <w:t>）、作业条件危险性分析（</w:t>
      </w:r>
      <w:r>
        <w:rPr>
          <w:color w:val="000000"/>
          <w:szCs w:val="21"/>
        </w:rPr>
        <w:t>LEC</w:t>
      </w:r>
      <w:r>
        <w:rPr>
          <w:rFonts w:hAnsi="宋体"/>
          <w:color w:val="000000"/>
          <w:szCs w:val="21"/>
        </w:rPr>
        <w:t>）、安全检查表法（</w:t>
      </w:r>
      <w:r>
        <w:rPr>
          <w:color w:val="000000"/>
          <w:szCs w:val="21"/>
        </w:rPr>
        <w:t>SCL</w:t>
      </w:r>
      <w:r>
        <w:rPr>
          <w:rFonts w:hAnsi="宋体"/>
          <w:color w:val="000000"/>
          <w:szCs w:val="21"/>
        </w:rPr>
        <w:t>）等</w:t>
      </w:r>
      <w:r>
        <w:rPr>
          <w:rFonts w:hint="eastAsia" w:hAnsi="宋体"/>
          <w:color w:val="000000"/>
          <w:szCs w:val="21"/>
        </w:rPr>
        <w:t>进行安全风险等级划分及风险控制措施制定</w:t>
      </w:r>
      <w:r>
        <w:rPr>
          <w:szCs w:val="22"/>
        </w:rPr>
        <w:t>；</w:t>
      </w:r>
    </w:p>
    <w:p>
      <w:pPr>
        <w:ind w:firstLine="420" w:firstLineChars="200"/>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rPr>
        <w:t>掌握</w:t>
      </w:r>
      <w:r>
        <w:t>本行业生产经营过程中应保证的安全生产基础条件，应建立健全的安全督促检查体系；</w:t>
      </w:r>
    </w:p>
    <w:p>
      <w:pPr>
        <w:ind w:firstLine="420" w:firstLineChars="200"/>
        <w:rPr>
          <w:rFonts w:hint="eastAsia" w:ascii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t>掌</w:t>
      </w:r>
      <w:r>
        <w:rPr>
          <w:rFonts w:hint="eastAsia" w:asciiTheme="minorEastAsia"/>
        </w:rPr>
        <w:t>握日常安全生产检查督促以及安全目标考核评估的基本方法。</w:t>
      </w:r>
    </w:p>
    <w:p>
      <w:pPr>
        <w:ind w:firstLine="420" w:firstLineChars="200"/>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val="en-US" w:eastAsia="zh-CN"/>
        </w:rPr>
        <w:t xml:space="preserve"> </w:t>
      </w:r>
      <w:r>
        <w:rPr>
          <w:rFonts w:hint="eastAsia"/>
        </w:rPr>
        <w:t>掌握事故隐患排查治理的方式及相关规定。</w:t>
      </w:r>
    </w:p>
    <w:p>
      <w:pPr>
        <w:pStyle w:val="35"/>
        <w:numPr>
          <w:ilvl w:val="0"/>
          <w:numId w:val="0"/>
        </w:numPr>
        <w:spacing w:before="156" w:after="156"/>
        <w:ind w:left="141"/>
        <w:rPr>
          <w:rFonts w:hint="eastAsia" w:ascii="黑体" w:hAnsi="黑体" w:eastAsia="黑体" w:cs="黑体"/>
        </w:rPr>
      </w:pPr>
      <w:r>
        <w:rPr>
          <w:rFonts w:hint="eastAsia" w:ascii="黑体" w:hAnsi="黑体" w:eastAsia="黑体" w:cs="黑体"/>
        </w:rPr>
        <w:t>4.2.3</w:t>
      </w:r>
      <w:r>
        <w:rPr>
          <w:rFonts w:hint="eastAsia" w:hAnsi="黑体" w:cs="黑体"/>
          <w:lang w:val="en-US" w:eastAsia="zh-CN"/>
        </w:rPr>
        <w:t xml:space="preserve">  </w:t>
      </w:r>
      <w:r>
        <w:rPr>
          <w:rFonts w:hint="eastAsia" w:ascii="黑体" w:hAnsi="黑体" w:eastAsia="黑体" w:cs="黑体"/>
        </w:rPr>
        <w:t>生产安全事故应急与救援体系考核要求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szCs w:val="21"/>
        </w:rPr>
        <w:t>熟悉本行业重大危险源的概念与识别方法；</w:t>
      </w:r>
      <w:r>
        <w:rPr>
          <w:rFonts w:hint="eastAsia"/>
        </w:rPr>
        <w:t>了解法律法规及规范性文件对生产事故应急处置的管理要求；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szCs w:val="21"/>
        </w:rPr>
        <w:t>熟悉事故应急体系的建设要求与事故应急演练的方法、基本任务与目标；</w:t>
      </w:r>
    </w:p>
    <w:p>
      <w:pPr>
        <w:ind w:firstLine="420" w:firstLineChars="200"/>
        <w:rPr>
          <w:rFonts w:asciiTheme="minorEastAsia" w:hAnsiTheme="minorEastAsia" w:eastAsiaTheme="minorEastAsia"/>
          <w:szCs w:val="21"/>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hAnsi="宋体"/>
          <w:color w:val="000000"/>
        </w:rPr>
        <w:t>掌握</w:t>
      </w:r>
      <w:r>
        <w:rPr>
          <w:rFonts w:hint="eastAsia" w:hAnsi="宋体"/>
          <w:color w:val="000000"/>
          <w:szCs w:val="21"/>
        </w:rPr>
        <w:t>事故应急的定义、应急体系的内容及事故应急响应要求；掌握</w:t>
      </w:r>
      <w:r>
        <w:rPr>
          <w:rFonts w:hint="eastAsia" w:asciiTheme="minorEastAsia" w:hAnsiTheme="minorEastAsia" w:eastAsiaTheme="minorEastAsia"/>
          <w:szCs w:val="21"/>
        </w:rPr>
        <w:t>本企业事故应急防护用品的配置原则及管理要求；</w:t>
      </w:r>
    </w:p>
    <w:p>
      <w:pPr>
        <w:ind w:firstLine="420" w:firstLineChars="200"/>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szCs w:val="21"/>
        </w:rPr>
        <w:t>掌握事故应急预案要素、编制程序与方法，</w:t>
      </w:r>
      <w:r>
        <w:rPr>
          <w:rFonts w:hint="eastAsia" w:hAnsi="宋体"/>
          <w:color w:val="000000"/>
          <w:szCs w:val="21"/>
        </w:rPr>
        <w:t>掌握应急救援预案的培训、演练、评审及备案要求。</w:t>
      </w:r>
    </w:p>
    <w:p>
      <w:pPr>
        <w:pStyle w:val="38"/>
        <w:spacing w:before="156" w:after="156"/>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4.2.4  生产安全事故管理考核要求</w:t>
      </w:r>
    </w:p>
    <w:p>
      <w:pPr>
        <w:ind w:firstLine="420" w:firstLineChars="200"/>
        <w:rPr>
          <w:szCs w:val="22"/>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rPr>
        <w:t>熟悉</w:t>
      </w:r>
      <w:r>
        <w:t>法律法规及规范性文件对生产安全事故管理的规定</w:t>
      </w:r>
      <w:r>
        <w:rPr>
          <w:szCs w:val="22"/>
        </w:rPr>
        <w:t>；</w:t>
      </w:r>
    </w:p>
    <w:p>
      <w:pPr>
        <w:ind w:firstLine="420" w:firstLineChars="200"/>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t>掌握生产安全事故报告的时限及内容要求</w:t>
      </w:r>
      <w:r>
        <w:rPr>
          <w:szCs w:val="22"/>
        </w:rPr>
        <w:t>；</w:t>
      </w:r>
    </w:p>
    <w:p>
      <w:pPr>
        <w:ind w:firstLine="420" w:firstLineChars="200"/>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t>熟悉生产安全事故的调查与分析原则、方法及要求，</w:t>
      </w:r>
      <w:r>
        <w:rPr>
          <w:rFonts w:hint="eastAsia"/>
        </w:rPr>
        <w:t>掌握</w:t>
      </w:r>
      <w:r>
        <w:t>生产安全事故</w:t>
      </w:r>
      <w:r>
        <w:rPr>
          <w:rFonts w:hint="eastAsia"/>
        </w:rPr>
        <w:t>现场保护方式，以及事故</w:t>
      </w:r>
      <w:r>
        <w:t>报告的编写格式、要求及内容</w:t>
      </w:r>
      <w:r>
        <w:rPr>
          <w:szCs w:val="22"/>
        </w:rPr>
        <w:t>；</w:t>
      </w:r>
    </w:p>
    <w:p>
      <w:pPr>
        <w:ind w:firstLine="420" w:firstLineChars="200"/>
        <w:rPr>
          <w:rFonts w:hint="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t>掌握生产安全事故的处理</w:t>
      </w:r>
      <w:r>
        <w:rPr>
          <w:rFonts w:hint="eastAsia"/>
        </w:rPr>
        <w:t>程序及组织原则</w:t>
      </w:r>
      <w:r>
        <w:t>；</w:t>
      </w:r>
    </w:p>
    <w:p>
      <w:pPr>
        <w:ind w:firstLine="420" w:firstLineChars="200"/>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val="en-US" w:eastAsia="zh-CN"/>
        </w:rPr>
        <w:t xml:space="preserve"> </w:t>
      </w:r>
      <w:r>
        <w:rPr>
          <w:rFonts w:hint="eastAsia"/>
        </w:rPr>
        <w:t>掌握</w:t>
      </w:r>
      <w:r>
        <w:t>工伤保险法规及政策。</w:t>
      </w:r>
    </w:p>
    <w:p>
      <w:pPr>
        <w:pStyle w:val="35"/>
        <w:numPr>
          <w:ilvl w:val="0"/>
          <w:numId w:val="0"/>
        </w:numPr>
        <w:spacing w:before="156" w:after="156"/>
        <w:ind w:left="141"/>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4.2.5  职业卫生及劳动防护知识要求</w:t>
      </w:r>
    </w:p>
    <w:p>
      <w:pPr>
        <w:ind w:firstLine="420" w:firstLineChars="200"/>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szCs w:val="21"/>
        </w:rPr>
        <w:t>职业危害防护设施配置及管理方面，了解国家相关行政管理机构的相关规定；以及相关技术规范、标准的要求。</w:t>
      </w:r>
    </w:p>
    <w:p>
      <w:pPr>
        <w:ind w:firstLine="420" w:firstLineChars="200"/>
        <w:rPr>
          <w:rFonts w:ascii="宋体" w:hAnsi="宋体"/>
          <w:color w:val="000000"/>
          <w:szCs w:val="21"/>
        </w:rPr>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ascii="宋体" w:hAnsi="宋体"/>
          <w:color w:val="000000"/>
          <w:szCs w:val="21"/>
        </w:rPr>
        <w:t>了解法律法规及规范性文件对企业从业人员劳动防护设施的要求；</w:t>
      </w:r>
    </w:p>
    <w:p>
      <w:pPr>
        <w:ind w:firstLine="420" w:firstLineChars="200"/>
        <w:rPr>
          <w:rFonts w:ascii="宋体" w:hAnsi="宋体"/>
          <w:color w:val="000000"/>
          <w:szCs w:val="21"/>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hAnsi="宋体"/>
          <w:color w:val="000000"/>
        </w:rPr>
        <w:t>熟悉</w:t>
      </w:r>
      <w:r>
        <w:rPr>
          <w:rFonts w:hint="eastAsia" w:hAnsi="宋体"/>
          <w:color w:val="000000"/>
          <w:szCs w:val="21"/>
        </w:rPr>
        <w:t>劳动防护用品配备标准，以及</w:t>
      </w:r>
      <w:r>
        <w:rPr>
          <w:rFonts w:hint="eastAsia" w:ascii="宋体" w:hAnsi="宋体"/>
          <w:color w:val="000000"/>
          <w:szCs w:val="21"/>
        </w:rPr>
        <w:t>劳动防护用品管理要求。</w:t>
      </w:r>
    </w:p>
    <w:p>
      <w:pPr>
        <w:pStyle w:val="35"/>
        <w:spacing w:before="156" w:after="156"/>
        <w:ind w:left="0"/>
      </w:pPr>
      <w:r>
        <w:rPr>
          <w:rFonts w:hint="eastAsia" w:ascii="宋体" w:hAnsi="宋体"/>
          <w:color w:val="000000"/>
        </w:rPr>
        <w:t>安全生产技术知识考核要求</w:t>
      </w:r>
    </w:p>
    <w:p>
      <w:pPr>
        <w:pStyle w:val="35"/>
        <w:numPr>
          <w:ilvl w:val="0"/>
          <w:numId w:val="0"/>
        </w:numPr>
        <w:spacing w:before="156" w:after="156"/>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4.3.1</w:t>
      </w:r>
      <w:r>
        <w:rPr>
          <w:rFonts w:hint="eastAsia" w:hAnsi="黑体" w:cs="黑体"/>
          <w:kern w:val="0"/>
          <w:sz w:val="21"/>
          <w:szCs w:val="21"/>
          <w:lang w:val="en-US" w:eastAsia="zh-CN" w:bidi="ar-SA"/>
        </w:rPr>
        <w:t xml:space="preserve">  </w:t>
      </w:r>
      <w:r>
        <w:rPr>
          <w:rFonts w:hint="eastAsia" w:ascii="黑体" w:hAnsi="黑体" w:eastAsia="黑体" w:cs="黑体"/>
          <w:kern w:val="0"/>
          <w:sz w:val="21"/>
          <w:szCs w:val="21"/>
          <w:lang w:val="en-US" w:eastAsia="zh-CN" w:bidi="ar-SA"/>
        </w:rPr>
        <w:t>防火防爆防中毒安全</w:t>
      </w:r>
    </w:p>
    <w:p>
      <w:pPr>
        <w:ind w:firstLine="420" w:firstLineChars="200"/>
        <w:rPr>
          <w:rFonts w:hint="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t>了解物质燃烧条件、以及燃烧过程、燃烧形式、燃烧种类及影响燃烧的因素；</w:t>
      </w:r>
    </w:p>
    <w:p>
      <w:pPr>
        <w:ind w:firstLine="420" w:firstLineChars="200"/>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rPr>
        <w:t>熟悉火灾类别、火灾等级、火灾分区等知识，掌握现场灭火技术及防火设施；</w:t>
      </w:r>
    </w:p>
    <w:p>
      <w:pPr>
        <w:ind w:firstLine="420" w:firstLineChars="200"/>
        <w:rPr>
          <w:rFonts w:hint="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t>了解爆炸分类、爆炸过程及影响因素；</w:t>
      </w:r>
    </w:p>
    <w:p>
      <w:pPr>
        <w:ind w:firstLine="420" w:firstLineChars="200"/>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rPr>
        <w:t>熟悉爆炸危险作业场所的防爆设施配置，掌握爆炸隐患排查技术；</w:t>
      </w:r>
    </w:p>
    <w:p>
      <w:pPr>
        <w:ind w:firstLine="420" w:firstLineChars="200"/>
        <w:rPr>
          <w:rFonts w:hint="eastAsia"/>
        </w:rPr>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val="en-US" w:eastAsia="zh-CN"/>
        </w:rPr>
        <w:t xml:space="preserve"> </w:t>
      </w:r>
      <w:r>
        <w:t>了解中毒分类、中毒过程及影响因素；</w:t>
      </w:r>
    </w:p>
    <w:p>
      <w:pPr>
        <w:ind w:firstLine="420" w:firstLineChars="200"/>
      </w:pPr>
      <w:r>
        <w:rPr>
          <w:rFonts w:hint="eastAsia" w:asciiTheme="minorEastAsia" w:hAnsiTheme="minorEastAsia" w:eastAsiaTheme="minorEastAsia" w:cstheme="minorEastAsia"/>
          <w:lang w:val="en-US" w:eastAsia="zh-CN"/>
        </w:rPr>
        <w:t>f</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 xml:space="preserve"> </w:t>
      </w:r>
      <w:r>
        <w:rPr>
          <w:rFonts w:hint="eastAsia"/>
        </w:rPr>
        <w:t>熟悉中毒、窒息等危险作业场所的安全设施配置，掌握中毒隐患排查技术；</w:t>
      </w:r>
    </w:p>
    <w:p>
      <w:pPr>
        <w:ind w:firstLine="420" w:firstLineChars="200"/>
      </w:pPr>
      <w:r>
        <w:rPr>
          <w:rFonts w:hint="eastAsia" w:asciiTheme="minorEastAsia" w:hAnsiTheme="minorEastAsia" w:eastAsiaTheme="minorEastAsia" w:cstheme="minorEastAsia"/>
          <w:lang w:val="en-US" w:eastAsia="zh-CN"/>
        </w:rPr>
        <w:t>g</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 xml:space="preserve"> </w:t>
      </w:r>
      <w:r>
        <w:rPr>
          <w:rFonts w:hint="eastAsia"/>
        </w:rPr>
        <w:t>掌握</w:t>
      </w:r>
      <w:r>
        <w:t>防火、防爆、防中毒的</w:t>
      </w:r>
      <w:r>
        <w:rPr>
          <w:rFonts w:hint="eastAsia"/>
        </w:rPr>
        <w:t>相关安全</w:t>
      </w:r>
      <w:r>
        <w:t>管理</w:t>
      </w:r>
      <w:r>
        <w:rPr>
          <w:rFonts w:hint="eastAsia"/>
        </w:rPr>
        <w:t>规定</w:t>
      </w:r>
      <w:r>
        <w:t>。</w:t>
      </w:r>
    </w:p>
    <w:p>
      <w:pPr>
        <w:pStyle w:val="35"/>
        <w:numPr>
          <w:ilvl w:val="0"/>
          <w:numId w:val="0"/>
        </w:numPr>
        <w:spacing w:before="156" w:after="156"/>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4.3.2</w:t>
      </w:r>
      <w:r>
        <w:rPr>
          <w:rFonts w:hint="eastAsia" w:hAnsi="黑体" w:cs="黑体"/>
          <w:kern w:val="0"/>
          <w:sz w:val="21"/>
          <w:szCs w:val="21"/>
          <w:lang w:val="en-US" w:eastAsia="zh-CN" w:bidi="ar-SA"/>
        </w:rPr>
        <w:t xml:space="preserve">  </w:t>
      </w:r>
      <w:r>
        <w:rPr>
          <w:rFonts w:hint="eastAsia" w:ascii="黑体" w:hAnsi="黑体" w:eastAsia="黑体" w:cs="黑体"/>
          <w:kern w:val="0"/>
          <w:sz w:val="21"/>
          <w:szCs w:val="21"/>
          <w:lang w:val="en-US" w:eastAsia="zh-CN" w:bidi="ar-SA"/>
        </w:rPr>
        <w:t>电气安全</w:t>
      </w:r>
    </w:p>
    <w:p>
      <w:pPr>
        <w:ind w:firstLine="420" w:firstLineChars="200"/>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rPr>
        <w:t>掌握电气防火防爆安全技术以及安全管理要求；</w:t>
      </w:r>
    </w:p>
    <w:p>
      <w:pPr>
        <w:ind w:firstLine="420" w:firstLineChars="200"/>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rPr>
        <w:t>熟悉静电危害、静电产生的原因及消除措施；</w:t>
      </w:r>
    </w:p>
    <w:p>
      <w:pPr>
        <w:ind w:firstLine="420" w:firstLineChars="200"/>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rPr>
        <w:t>熟悉雷电分类、危害及防雷措施；</w:t>
      </w:r>
    </w:p>
    <w:p>
      <w:pPr>
        <w:ind w:firstLine="420" w:firstLineChars="200"/>
        <w:rPr>
          <w:rFonts w:hint="eastAsia" w:ascii="宋体" w:hAnsi="宋体"/>
          <w:color w:val="000000"/>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ascii="宋体" w:hAnsi="宋体"/>
          <w:color w:val="000000"/>
        </w:rPr>
        <w:t>掌握常见触电事故的急救方式。</w:t>
      </w:r>
    </w:p>
    <w:p>
      <w:pPr>
        <w:ind w:firstLine="420" w:firstLineChars="200"/>
        <w:rPr>
          <w:rFonts w:ascii="宋体" w:hAnsi="宋体"/>
          <w:color w:val="000000"/>
        </w:rPr>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val="en-US" w:eastAsia="zh-CN"/>
        </w:rPr>
        <w:t xml:space="preserve"> </w:t>
      </w:r>
      <w:r>
        <w:rPr>
          <w:rFonts w:hint="eastAsia" w:ascii="宋体" w:hAnsi="宋体"/>
          <w:color w:val="000000"/>
        </w:rPr>
        <w:t>掌握电气事故隐患排查治理的技术工具及方法。</w:t>
      </w:r>
    </w:p>
    <w:p>
      <w:pPr>
        <w:pStyle w:val="35"/>
        <w:numPr>
          <w:ilvl w:val="0"/>
          <w:numId w:val="0"/>
        </w:numPr>
        <w:spacing w:before="156" w:after="156"/>
        <w:rPr>
          <w:rFonts w:hint="eastAsia" w:ascii="黑体" w:hAnsi="黑体" w:eastAsia="黑体" w:cs="黑体"/>
          <w:kern w:val="0"/>
          <w:sz w:val="21"/>
          <w:szCs w:val="21"/>
          <w:lang w:val="en-US" w:eastAsia="zh-CN" w:bidi="ar-SA"/>
        </w:rPr>
      </w:pPr>
      <w:r>
        <w:rPr>
          <w:rFonts w:hint="eastAsia" w:ascii="黑体" w:hAnsi="黑体" w:eastAsia="黑体" w:cs="黑体"/>
          <w:kern w:val="0"/>
          <w:sz w:val="21"/>
          <w:szCs w:val="21"/>
          <w:lang w:val="en-US" w:eastAsia="zh-CN" w:bidi="ar-SA"/>
        </w:rPr>
        <w:t>4.3.3</w:t>
      </w:r>
      <w:r>
        <w:rPr>
          <w:rFonts w:hint="eastAsia" w:hAnsi="黑体" w:cs="黑体"/>
          <w:kern w:val="0"/>
          <w:sz w:val="21"/>
          <w:szCs w:val="21"/>
          <w:lang w:val="en-US" w:eastAsia="zh-CN" w:bidi="ar-SA"/>
        </w:rPr>
        <w:t xml:space="preserve">  </w:t>
      </w:r>
      <w:r>
        <w:rPr>
          <w:rFonts w:hint="eastAsia" w:ascii="黑体" w:hAnsi="黑体" w:eastAsia="黑体" w:cs="黑体"/>
          <w:kern w:val="0"/>
          <w:sz w:val="21"/>
          <w:szCs w:val="21"/>
          <w:lang w:val="en-US" w:eastAsia="zh-CN" w:bidi="ar-SA"/>
        </w:rPr>
        <w:t>工艺过程安全</w:t>
      </w:r>
    </w:p>
    <w:p>
      <w:pPr>
        <w:ind w:firstLine="420" w:firstLineChars="200"/>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rPr>
        <w:t>熟悉本行业工艺过程的安全技术；</w:t>
      </w:r>
    </w:p>
    <w:p>
      <w:pPr>
        <w:ind w:firstLine="420" w:firstLineChars="200"/>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rPr>
        <w:t>熟悉本行业重点生产单元、重点生产设施的安全技术；</w:t>
      </w:r>
    </w:p>
    <w:p>
      <w:pPr>
        <w:ind w:firstLine="420" w:firstLineChars="200"/>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rPr>
        <w:t>掌握本企业生产工艺过程的安全技术设施及安全管理规定；</w:t>
      </w:r>
    </w:p>
    <w:p>
      <w:pPr>
        <w:ind w:firstLine="420" w:firstLineChars="200"/>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rPr>
        <w:t>掌握本企业工艺过程生产事故特征及应急处置要求。</w:t>
      </w:r>
    </w:p>
    <w:p>
      <w:pPr>
        <w:pStyle w:val="35"/>
        <w:numPr>
          <w:ilvl w:val="0"/>
          <w:numId w:val="0"/>
        </w:numPr>
        <w:spacing w:before="156" w:after="156"/>
      </w:pPr>
      <w:r>
        <w:rPr>
          <w:rFonts w:hAnsi="宋体"/>
          <w:color w:val="000000"/>
        </w:rPr>
        <w:t>4.3.4</w:t>
      </w:r>
      <w:r>
        <w:rPr>
          <w:rFonts w:hint="eastAsia" w:hAnsi="宋体"/>
          <w:color w:val="000000"/>
          <w:lang w:val="en-US" w:eastAsia="zh-CN"/>
        </w:rPr>
        <w:t xml:space="preserve">  </w:t>
      </w:r>
      <w:r>
        <w:rPr>
          <w:rFonts w:hint="eastAsia"/>
        </w:rPr>
        <w:t>机械设备安全管理</w:t>
      </w:r>
    </w:p>
    <w:p>
      <w:pPr>
        <w:ind w:firstLine="420" w:firstLineChars="200"/>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rPr>
        <w:t>了解本行业机械设备分类及通用机械设备安全技术及安全管理要求；</w:t>
      </w:r>
    </w:p>
    <w:p>
      <w:pPr>
        <w:ind w:firstLine="420" w:firstLineChars="200"/>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rPr>
        <w:t>熟悉本行业特种设备分类及特种设备安全管理要求；</w:t>
      </w:r>
    </w:p>
    <w:p>
      <w:pPr>
        <w:ind w:firstLine="420" w:firstLineChars="200"/>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lang w:val="en-US" w:eastAsia="zh-CN"/>
        </w:rPr>
        <w:t xml:space="preserve"> </w:t>
      </w:r>
      <w:r>
        <w:rPr>
          <w:rFonts w:hint="eastAsia"/>
        </w:rPr>
        <w:t>掌握本企业机械设备使用过程中的事故隐患特点，具备隐患排查治理能力；</w:t>
      </w:r>
    </w:p>
    <w:p>
      <w:pPr>
        <w:ind w:firstLine="420" w:firstLineChars="200"/>
        <w:rPr>
          <w:rFonts w:hint="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 xml:space="preserve"> </w:t>
      </w:r>
      <w:r>
        <w:rPr>
          <w:rFonts w:hint="eastAsia"/>
        </w:rPr>
        <w:t>掌握本企业机械设备维护检修的安全管理要求；</w:t>
      </w:r>
    </w:p>
    <w:p>
      <w:pPr>
        <w:ind w:firstLine="420" w:firstLineChars="200"/>
      </w:pPr>
      <w:r>
        <w:rPr>
          <w:rFonts w:hint="eastAsia" w:asciiTheme="minorEastAsia" w:hAnsiTheme="minorEastAsia" w:eastAsiaTheme="minorEastAsia" w:cstheme="minorEastAsia"/>
        </w:rPr>
        <w:t>e）</w:t>
      </w:r>
      <w:r>
        <w:rPr>
          <w:rFonts w:hint="eastAsia" w:asciiTheme="minorEastAsia" w:hAnsiTheme="minorEastAsia" w:eastAsiaTheme="minorEastAsia" w:cstheme="minorEastAsia"/>
          <w:lang w:val="en-US" w:eastAsia="zh-CN"/>
        </w:rPr>
        <w:t xml:space="preserve"> </w:t>
      </w:r>
      <w:r>
        <w:rPr>
          <w:rFonts w:hint="eastAsia"/>
        </w:rPr>
        <w:t>掌握本企业特种设备品种、数量，以及特种设备的安全管理规定。</w:t>
      </w:r>
    </w:p>
    <w:p>
      <w:pPr>
        <w:pStyle w:val="35"/>
        <w:numPr>
          <w:ilvl w:val="0"/>
          <w:numId w:val="0"/>
        </w:numPr>
        <w:spacing w:before="156" w:after="156"/>
      </w:pPr>
      <w:r>
        <w:rPr>
          <w:rFonts w:hAnsi="宋体"/>
          <w:color w:val="000000"/>
        </w:rPr>
        <w:t>4.3.5</w:t>
      </w:r>
      <w:r>
        <w:rPr>
          <w:rFonts w:hint="eastAsia" w:hAnsi="宋体"/>
          <w:color w:val="000000"/>
          <w:lang w:val="en-US" w:eastAsia="zh-CN"/>
        </w:rPr>
        <w:t xml:space="preserve">  </w:t>
      </w:r>
      <w:r>
        <w:rPr>
          <w:rFonts w:hint="eastAsia"/>
        </w:rPr>
        <w:t>较大危险性作业安全管理</w:t>
      </w:r>
    </w:p>
    <w:p>
      <w:pPr>
        <w:ind w:firstLine="420" w:firstLineChars="200"/>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lang w:val="en-US" w:eastAsia="zh-CN"/>
        </w:rPr>
        <w:t xml:space="preserve"> </w:t>
      </w:r>
      <w:r>
        <w:rPr>
          <w:rFonts w:hint="eastAsia"/>
        </w:rPr>
        <w:t>熟悉本行业动火、动土、高处作业、临边作业、有限空间作业、检维修作业等较大危险性作业的种类及危害，具备较大危险性作业的风险辨识能力；</w:t>
      </w:r>
    </w:p>
    <w:p>
      <w:pPr>
        <w:ind w:firstLine="420" w:firstLineChars="200"/>
      </w:pPr>
      <w:r>
        <w:rPr>
          <w:rFonts w:hint="eastAsia" w:asciiTheme="minorEastAsia" w:hAnsiTheme="minorEastAsia" w:eastAsiaTheme="minorEastAsia" w:cstheme="minorEastAsia"/>
        </w:rPr>
        <w:t>b）</w:t>
      </w:r>
      <w:r>
        <w:rPr>
          <w:rFonts w:hint="eastAsia" w:asciiTheme="minorEastAsia" w:hAnsiTheme="minorEastAsia" w:eastAsiaTheme="minorEastAsia" w:cstheme="minorEastAsia"/>
          <w:lang w:val="en-US" w:eastAsia="zh-CN"/>
        </w:rPr>
        <w:t xml:space="preserve"> </w:t>
      </w:r>
      <w:r>
        <w:rPr>
          <w:rFonts w:hint="eastAsia"/>
        </w:rPr>
        <w:t>掌握本企业较大危险性作业的安全管理制度及要求。</w:t>
      </w:r>
    </w:p>
    <w:p>
      <w:pPr>
        <w:pStyle w:val="35"/>
        <w:spacing w:before="156" w:after="156"/>
        <w:ind w:left="0"/>
      </w:pPr>
      <w:r>
        <w:rPr>
          <w:rFonts w:hint="eastAsia" w:ascii="宋体" w:hAnsi="宋体"/>
          <w:color w:val="000000"/>
        </w:rPr>
        <w:t>本</w:t>
      </w:r>
      <w:r>
        <w:rPr>
          <w:rFonts w:hint="eastAsia" w:cs="Times New Roman" w:asciiTheme="minorEastAsia" w:hAnsiTheme="minorEastAsia" w:eastAsiaTheme="minorEastAsia"/>
          <w:kern w:val="2"/>
          <w:sz w:val="21"/>
          <w:szCs w:val="21"/>
          <w:lang w:val="en-US" w:eastAsia="zh-CN" w:bidi="ar-SA"/>
        </w:rPr>
        <w:t>文件</w:t>
      </w:r>
      <w:r>
        <w:rPr>
          <w:rFonts w:hint="eastAsia" w:ascii="宋体" w:hAnsi="宋体"/>
          <w:color w:val="000000"/>
        </w:rPr>
        <w:t>提出应当考核的内容</w:t>
      </w:r>
    </w:p>
    <w:p>
      <w:r>
        <w:rPr>
          <w:rFonts w:hint="eastAsia" w:ascii="黑体" w:eastAsia="黑体"/>
          <w:szCs w:val="21"/>
        </w:rPr>
        <w:t>4.4.1</w:t>
      </w:r>
      <w:r>
        <w:rPr>
          <w:rFonts w:hint="eastAsia" w:ascii="黑体" w:eastAsia="黑体"/>
          <w:szCs w:val="21"/>
          <w:lang w:val="en-US" w:eastAsia="zh-CN"/>
        </w:rPr>
        <w:t xml:space="preserve">  </w:t>
      </w:r>
      <w:r>
        <w:rPr>
          <w:rFonts w:hint="eastAsia" w:ascii="宋体" w:hAnsi="宋体"/>
          <w:color w:val="000000"/>
          <w:szCs w:val="21"/>
        </w:rPr>
        <w:t>有关安全生产方面的新的法律、法规、标准、规程和规范。</w:t>
      </w:r>
    </w:p>
    <w:p>
      <w:pPr>
        <w:pStyle w:val="38"/>
        <w:spacing w:before="156" w:after="156"/>
        <w:rPr>
          <w:rFonts w:ascii="宋体" w:hAnsi="宋体"/>
        </w:rPr>
      </w:pPr>
      <w:r>
        <w:t>4.</w:t>
      </w:r>
      <w:r>
        <w:rPr>
          <w:rFonts w:hint="eastAsia"/>
        </w:rPr>
        <w:t>4</w:t>
      </w:r>
      <w:r>
        <w:t>.2</w:t>
      </w:r>
      <w:r>
        <w:rPr>
          <w:rFonts w:hint="eastAsia"/>
          <w:lang w:val="en-US" w:eastAsia="zh-CN"/>
        </w:rPr>
        <w:t xml:space="preserve">  </w:t>
      </w:r>
      <w:r>
        <w:rPr>
          <w:rFonts w:hint="eastAsia" w:ascii="宋体" w:hAnsi="宋体" w:eastAsia="宋体"/>
          <w:color w:val="000000"/>
          <w:kern w:val="2"/>
        </w:rPr>
        <w:t>有关本行业的新工艺、新技术、新材料、新设备及其安全技术要求。</w:t>
      </w:r>
    </w:p>
    <w:p>
      <w:pPr>
        <w:pStyle w:val="38"/>
        <w:spacing w:before="156" w:after="156"/>
        <w:rPr>
          <w:rFonts w:ascii="宋体" w:hAnsi="宋体" w:eastAsia="宋体"/>
          <w:color w:val="000000"/>
          <w:kern w:val="2"/>
        </w:rPr>
      </w:pPr>
      <w:r>
        <w:rPr>
          <w:rFonts w:hint="eastAsia"/>
        </w:rPr>
        <w:t>4</w:t>
      </w:r>
      <w:r>
        <w:t>.</w:t>
      </w:r>
      <w:r>
        <w:rPr>
          <w:rFonts w:hint="eastAsia"/>
        </w:rPr>
        <w:t>4</w:t>
      </w:r>
      <w:r>
        <w:t>.3</w:t>
      </w:r>
      <w:r>
        <w:rPr>
          <w:rFonts w:hint="eastAsia"/>
          <w:lang w:val="en-US" w:eastAsia="zh-CN"/>
        </w:rPr>
        <w:t xml:space="preserve">  </w:t>
      </w:r>
      <w:r>
        <w:rPr>
          <w:rFonts w:hint="eastAsia" w:ascii="宋体" w:hAnsi="宋体" w:eastAsia="宋体"/>
          <w:color w:val="000000"/>
          <w:kern w:val="2"/>
        </w:rPr>
        <w:t>本行业安全生产管理先进经验。</w:t>
      </w:r>
    </w:p>
    <w:p>
      <w:pPr>
        <w:pStyle w:val="26"/>
        <w:ind w:firstLine="0" w:firstLineChars="0"/>
        <w:rPr>
          <w:rFonts w:hAnsi="宋体"/>
          <w:color w:val="000000"/>
          <w:szCs w:val="21"/>
        </w:rPr>
      </w:pPr>
      <w:r>
        <w:rPr>
          <w:rFonts w:hint="eastAsia" w:ascii="黑体" w:eastAsia="黑体"/>
          <w:kern w:val="2"/>
          <w:szCs w:val="21"/>
        </w:rPr>
        <w:t xml:space="preserve">4.4.4 </w:t>
      </w:r>
      <w:r>
        <w:rPr>
          <w:rFonts w:hint="eastAsia" w:ascii="黑体" w:eastAsia="黑体"/>
          <w:kern w:val="2"/>
          <w:szCs w:val="21"/>
          <w:lang w:val="en-US" w:eastAsia="zh-CN"/>
        </w:rPr>
        <w:t xml:space="preserve"> </w:t>
      </w:r>
      <w:r>
        <w:rPr>
          <w:rFonts w:hint="eastAsia" w:hAnsi="宋体"/>
          <w:color w:val="000000"/>
          <w:szCs w:val="21"/>
        </w:rPr>
        <w:t>本行业各类典型事故发生的原因，避免同类事故发生的对策和防范措施。</w:t>
      </w:r>
    </w:p>
    <w:p>
      <w:pPr>
        <w:pStyle w:val="38"/>
        <w:spacing w:before="156" w:after="156"/>
      </w:pPr>
      <w:r>
        <w:t>4.</w:t>
      </w:r>
      <w:r>
        <w:rPr>
          <w:rFonts w:hint="eastAsia"/>
        </w:rPr>
        <w:t>4</w:t>
      </w:r>
      <w:r>
        <w:t>.</w:t>
      </w:r>
      <w:r>
        <w:rPr>
          <w:rFonts w:hint="eastAsia"/>
        </w:rPr>
        <w:t>5</w:t>
      </w:r>
      <w:r>
        <w:rPr>
          <w:rFonts w:hint="eastAsia"/>
          <w:lang w:val="en-US" w:eastAsia="zh-CN"/>
        </w:rPr>
        <w:t xml:space="preserve">  </w:t>
      </w:r>
      <w:r>
        <w:rPr>
          <w:rFonts w:hint="eastAsia" w:ascii="宋体" w:hAnsi="宋体" w:eastAsia="宋体"/>
          <w:color w:val="000000"/>
          <w:kern w:val="2"/>
        </w:rPr>
        <w:t>其他应当考核的内容。</w:t>
      </w:r>
    </w:p>
    <w:p>
      <w:pPr>
        <w:pStyle w:val="34"/>
        <w:spacing w:before="312" w:after="312"/>
      </w:pPr>
      <w:r>
        <w:rPr>
          <w:rFonts w:hint="eastAsia"/>
          <w:lang w:eastAsia="zh-CN"/>
        </w:rPr>
        <w:t>考核深度要求</w:t>
      </w:r>
    </w:p>
    <w:p>
      <w:pPr>
        <w:pStyle w:val="35"/>
        <w:numPr>
          <w:ilvl w:val="1"/>
          <w:numId w:val="0"/>
        </w:numPr>
        <w:spacing w:before="156" w:after="156"/>
        <w:ind w:firstLine="420" w:firstLineChars="200"/>
      </w:pPr>
      <w:r>
        <w:rPr>
          <w:rFonts w:hint="eastAsia" w:asciiTheme="minorEastAsia" w:hAnsiTheme="minorEastAsia" w:eastAsiaTheme="minorEastAsia"/>
        </w:rPr>
        <w:t>考核要求的深度分为了解、熟悉和掌握三个层次，三个层次由低到高，高层次的要求包含低层次的要求。</w:t>
      </w:r>
      <w:r>
        <w:rPr>
          <w:rFonts w:hint="eastAsia" w:cs="MS Mincho" w:asciiTheme="minorEastAsia" w:hAnsiTheme="minorEastAsia" w:eastAsiaTheme="minorEastAsia"/>
        </w:rPr>
        <w:t> </w:t>
      </w:r>
    </w:p>
    <w:p>
      <w:pPr>
        <w:pStyle w:val="34"/>
        <w:spacing w:before="312" w:after="312"/>
      </w:pPr>
      <w:r>
        <w:rPr>
          <w:rFonts w:hint="eastAsia"/>
        </w:rPr>
        <w:t>考核方式</w:t>
      </w:r>
    </w:p>
    <w:p>
      <w:pPr>
        <w:pStyle w:val="35"/>
        <w:spacing w:before="156" w:after="156"/>
        <w:ind w:left="0"/>
        <w:rPr>
          <w:rFonts w:asciiTheme="minorEastAsia" w:hAnsiTheme="minorEastAsia" w:eastAsiaTheme="minorEastAsia"/>
        </w:rPr>
      </w:pPr>
      <w:bookmarkStart w:id="69" w:name="_Toc471479894"/>
      <w:r>
        <w:rPr>
          <w:rFonts w:hint="eastAsia" w:asciiTheme="minorEastAsia" w:hAnsiTheme="minorEastAsia" w:eastAsiaTheme="minorEastAsia" w:cstheme="minorEastAsia"/>
          <w:lang w:eastAsia="zh-CN"/>
        </w:rPr>
        <w:t>考核为安全生产知识和安全管理能力考试，采用闭卷考试，鼓励有条件的采用计算机考核方式。</w:t>
      </w:r>
      <w:r>
        <w:rPr>
          <w:rFonts w:hint="eastAsia" w:asciiTheme="minorEastAsia" w:hAnsiTheme="minorEastAsia" w:eastAsiaTheme="minorEastAsia" w:cstheme="minorEastAsia"/>
        </w:rPr>
        <w:t>考</w:t>
      </w:r>
      <w:r>
        <w:rPr>
          <w:rFonts w:hint="eastAsia" w:asciiTheme="minorEastAsia" w:hAnsiTheme="minorEastAsia" w:eastAsiaTheme="minorEastAsia" w:cstheme="minorEastAsia"/>
          <w:lang w:eastAsia="zh-CN"/>
        </w:rPr>
        <w:t>核</w:t>
      </w:r>
      <w:r>
        <w:rPr>
          <w:rFonts w:hint="eastAsia" w:asciiTheme="minorEastAsia" w:hAnsiTheme="minorEastAsia" w:eastAsiaTheme="minorEastAsia" w:cstheme="minorEastAsia"/>
        </w:rPr>
        <w:t>试题总分值为100分，考核合格标准为80分及以上。</w:t>
      </w:r>
    </w:p>
    <w:bookmarkEnd w:id="69"/>
    <w:p>
      <w:pPr>
        <w:pStyle w:val="35"/>
        <w:spacing w:before="156" w:after="156"/>
        <w:ind w:left="0"/>
        <w:rPr>
          <w:rFonts w:asciiTheme="minorEastAsia" w:hAnsiTheme="minorEastAsia" w:eastAsiaTheme="minorEastAsia"/>
        </w:rPr>
      </w:pPr>
      <w:bookmarkStart w:id="70" w:name="_Toc18537416"/>
      <w:bookmarkStart w:id="71" w:name="_Hlk11697108"/>
      <w:bookmarkStart w:id="72" w:name="_Toc471479895"/>
      <w:r>
        <w:rPr>
          <w:rFonts w:hint="eastAsia" w:asciiTheme="minorEastAsia" w:hAnsiTheme="minorEastAsia" w:eastAsiaTheme="minorEastAsia"/>
          <w:lang w:eastAsia="zh-CN"/>
        </w:rPr>
        <w:t>具备安全培训条件的生产经营单位，应当以自主组织考试为主，也可委托具备安全培训条件的机构，对其从业人员组织考试。</w:t>
      </w:r>
    </w:p>
    <w:p>
      <w:pPr>
        <w:pStyle w:val="35"/>
        <w:spacing w:before="156" w:after="156"/>
        <w:ind w:left="0"/>
        <w:rPr>
          <w:rFonts w:asciiTheme="minorEastAsia" w:hAnsiTheme="minorEastAsia" w:eastAsiaTheme="minorEastAsia"/>
        </w:rPr>
      </w:pPr>
      <w:r>
        <w:rPr>
          <w:rFonts w:hint="eastAsia" w:asciiTheme="minorEastAsia" w:hAnsiTheme="minorEastAsia" w:eastAsiaTheme="minorEastAsia" w:cstheme="minorEastAsia"/>
        </w:rPr>
        <w:t>考核范围应符合本</w:t>
      </w:r>
      <w:r>
        <w:rPr>
          <w:rFonts w:hint="eastAsia" w:cs="Times New Roman" w:asciiTheme="minorEastAsia" w:hAnsiTheme="minorEastAsia" w:eastAsiaTheme="minorEastAsia"/>
          <w:kern w:val="2"/>
          <w:sz w:val="21"/>
          <w:szCs w:val="21"/>
          <w:lang w:val="en-US" w:eastAsia="zh-CN" w:bidi="ar-SA"/>
        </w:rPr>
        <w:t>文件</w:t>
      </w:r>
      <w:r>
        <w:rPr>
          <w:rFonts w:hint="eastAsia" w:asciiTheme="minorEastAsia" w:hAnsiTheme="minorEastAsia" w:eastAsiaTheme="minorEastAsia" w:cstheme="minorEastAsia"/>
        </w:rPr>
        <w:t>考核大纲规定的</w:t>
      </w:r>
      <w:r>
        <w:rPr>
          <w:rFonts w:hint="eastAsia" w:asciiTheme="minorEastAsia" w:hAnsiTheme="minorEastAsia" w:eastAsiaTheme="minorEastAsia" w:cstheme="minorEastAsia"/>
          <w:lang w:eastAsia="zh-CN"/>
        </w:rPr>
        <w:t>范围</w:t>
      </w:r>
      <w:r>
        <w:rPr>
          <w:rFonts w:hint="eastAsia" w:asciiTheme="minorEastAsia" w:hAnsiTheme="minorEastAsia" w:eastAsiaTheme="minorEastAsia" w:cstheme="minorEastAsia"/>
        </w:rPr>
        <w:t>。</w:t>
      </w:r>
      <w:bookmarkEnd w:id="70"/>
    </w:p>
    <w:bookmarkEnd w:id="71"/>
    <w:bookmarkEnd w:id="72"/>
    <w:p>
      <w:pPr>
        <w:pStyle w:val="35"/>
        <w:spacing w:before="156" w:after="156"/>
        <w:ind w:left="0"/>
        <w:rPr>
          <w:rFonts w:ascii="Times New Roman" w:eastAsiaTheme="minorEastAsia"/>
        </w:rPr>
      </w:pPr>
      <w:bookmarkStart w:id="73" w:name="_Toc471479898"/>
      <w:r>
        <w:rPr>
          <w:rFonts w:hint="eastAsia" w:asciiTheme="minorEastAsia" w:hAnsiTheme="minorEastAsia" w:eastAsiaTheme="minorEastAsia" w:cstheme="minorEastAsia"/>
        </w:rPr>
        <w:t>考核内容分为安全生产法律法规知识、安全生产管理知识、安全生产技术知识等三部分。其中安全生产法律法规知识占总分值的</w:t>
      </w:r>
      <w:r>
        <w:rPr>
          <w:rFonts w:ascii="Times New Roman" w:eastAsiaTheme="minorEastAsia"/>
        </w:rPr>
        <w:t>30~40%</w:t>
      </w:r>
      <w:r>
        <w:rPr>
          <w:rFonts w:ascii="Times New Roman" w:hAnsiTheme="minorEastAsia" w:eastAsiaTheme="minorEastAsia"/>
        </w:rPr>
        <w:t>、安全生产管理知识占总分值的</w:t>
      </w:r>
      <w:r>
        <w:rPr>
          <w:rFonts w:ascii="Times New Roman" w:eastAsiaTheme="minorEastAsia"/>
        </w:rPr>
        <w:t>30~40%</w:t>
      </w:r>
      <w:r>
        <w:rPr>
          <w:rFonts w:ascii="Times New Roman" w:hAnsiTheme="minorEastAsia" w:eastAsiaTheme="minorEastAsia"/>
        </w:rPr>
        <w:t>、安全生产技术知识占总分值的</w:t>
      </w:r>
      <w:r>
        <w:rPr>
          <w:rFonts w:ascii="Times New Roman" w:eastAsiaTheme="minorEastAsia"/>
        </w:rPr>
        <w:t>20~40%</w:t>
      </w:r>
      <w:r>
        <w:rPr>
          <w:rFonts w:ascii="Times New Roman" w:hAnsiTheme="minorEastAsia" w:eastAsiaTheme="minorEastAsia"/>
        </w:rPr>
        <w:t>。考核（试）时间为</w:t>
      </w:r>
      <w:r>
        <w:rPr>
          <w:rFonts w:ascii="Times New Roman" w:eastAsiaTheme="minorEastAsia"/>
        </w:rPr>
        <w:t>120</w:t>
      </w:r>
      <w:r>
        <w:rPr>
          <w:rFonts w:ascii="Times New Roman" w:hAnsiTheme="minorEastAsia" w:eastAsiaTheme="minorEastAsia"/>
        </w:rPr>
        <w:t>分钟。</w:t>
      </w:r>
    </w:p>
    <w:bookmarkEnd w:id="73"/>
    <w:p>
      <w:pPr>
        <w:pStyle w:val="35"/>
        <w:spacing w:before="156" w:after="156"/>
        <w:ind w:left="0"/>
      </w:pPr>
      <w:r>
        <w:rPr>
          <w:rFonts w:hint="eastAsia" w:asciiTheme="minorEastAsia" w:hAnsiTheme="minorEastAsia" w:eastAsiaTheme="minorEastAsia" w:cstheme="minorEastAsia"/>
          <w:lang w:eastAsia="zh-CN"/>
        </w:rPr>
        <w:t>考核合格者，由组织考试单位或机构颁发培训合格证；</w:t>
      </w:r>
      <w:r>
        <w:rPr>
          <w:rFonts w:hint="eastAsia" w:asciiTheme="minorEastAsia" w:hAnsiTheme="minorEastAsia" w:eastAsiaTheme="minorEastAsia" w:cstheme="minorEastAsia"/>
        </w:rPr>
        <w:t>考核不合格</w:t>
      </w:r>
      <w:r>
        <w:rPr>
          <w:rFonts w:hint="eastAsia" w:asciiTheme="minorEastAsia" w:hAnsiTheme="minorEastAsia" w:eastAsiaTheme="minorEastAsia" w:cstheme="minorEastAsia"/>
          <w:lang w:eastAsia="zh-CN"/>
        </w:rPr>
        <w:t>者</w:t>
      </w:r>
      <w:r>
        <w:rPr>
          <w:rFonts w:hint="eastAsia" w:asciiTheme="minorEastAsia" w:hAnsiTheme="minorEastAsia" w:eastAsiaTheme="minorEastAsia" w:cstheme="minorEastAsia"/>
        </w:rPr>
        <w:t>允许补考一次，补考仍不合格者需要重新申请考核。</w:t>
      </w:r>
    </w:p>
    <w:p/>
    <w:p/>
    <w:p>
      <w:pPr>
        <w:pStyle w:val="39"/>
        <w:framePr w:y="1"/>
      </w:pPr>
      <w:r>
        <w:t>_________________________________</w:t>
      </w: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rPr>
      <w:t>DB51/TXXXX-2020</w:t>
    </w:r>
  </w:p>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14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2F07"/>
    <w:rsid w:val="000B2039"/>
    <w:rsid w:val="000C0998"/>
    <w:rsid w:val="0014394D"/>
    <w:rsid w:val="001C0D5F"/>
    <w:rsid w:val="001F5C01"/>
    <w:rsid w:val="00252FEC"/>
    <w:rsid w:val="002B678A"/>
    <w:rsid w:val="00344A50"/>
    <w:rsid w:val="00360613"/>
    <w:rsid w:val="003F2352"/>
    <w:rsid w:val="00407B78"/>
    <w:rsid w:val="00482326"/>
    <w:rsid w:val="005146B3"/>
    <w:rsid w:val="00545DBB"/>
    <w:rsid w:val="00594516"/>
    <w:rsid w:val="005C1A34"/>
    <w:rsid w:val="0063509F"/>
    <w:rsid w:val="006362E0"/>
    <w:rsid w:val="006A2F07"/>
    <w:rsid w:val="006A595F"/>
    <w:rsid w:val="00773447"/>
    <w:rsid w:val="0078633C"/>
    <w:rsid w:val="008138B1"/>
    <w:rsid w:val="00852C3F"/>
    <w:rsid w:val="00893D1C"/>
    <w:rsid w:val="008F3039"/>
    <w:rsid w:val="00923B41"/>
    <w:rsid w:val="0092797D"/>
    <w:rsid w:val="00A13106"/>
    <w:rsid w:val="00AE1AB1"/>
    <w:rsid w:val="00C62D29"/>
    <w:rsid w:val="00C66CF0"/>
    <w:rsid w:val="00C87A4C"/>
    <w:rsid w:val="00CE57AB"/>
    <w:rsid w:val="00D71A5D"/>
    <w:rsid w:val="00DF1170"/>
    <w:rsid w:val="00DF73B0"/>
    <w:rsid w:val="00E35C50"/>
    <w:rsid w:val="00E5131B"/>
    <w:rsid w:val="00F1615C"/>
    <w:rsid w:val="00F21123"/>
    <w:rsid w:val="00FF0213"/>
    <w:rsid w:val="154C62FE"/>
    <w:rsid w:val="1C0A4AEA"/>
    <w:rsid w:val="22DA0F06"/>
    <w:rsid w:val="29DB6168"/>
    <w:rsid w:val="2F2B70C9"/>
    <w:rsid w:val="36B1068B"/>
    <w:rsid w:val="47697E00"/>
    <w:rsid w:val="4B067B5A"/>
    <w:rsid w:val="50D66002"/>
    <w:rsid w:val="5DD773B0"/>
    <w:rsid w:val="66964815"/>
    <w:rsid w:val="706D0102"/>
    <w:rsid w:val="72416E46"/>
    <w:rsid w:val="755A7819"/>
    <w:rsid w:val="7833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6"/>
    <w:semiHidden/>
    <w:unhideWhenUsed/>
    <w:qFormat/>
    <w:uiPriority w:val="99"/>
    <w:pPr>
      <w:jc w:val="left"/>
    </w:pPr>
  </w:style>
  <w:style w:type="paragraph" w:styleId="3">
    <w:name w:val="Balloon Text"/>
    <w:basedOn w:val="1"/>
    <w:link w:val="30"/>
    <w:semiHidden/>
    <w:unhideWhenUsed/>
    <w:qFormat/>
    <w:uiPriority w:val="99"/>
    <w:rPr>
      <w:sz w:val="18"/>
      <w:szCs w:val="18"/>
    </w:rPr>
  </w:style>
  <w:style w:type="paragraph" w:styleId="4">
    <w:name w:val="footer"/>
    <w:basedOn w:val="1"/>
    <w:link w:val="32"/>
    <w:semiHidden/>
    <w:unhideWhenUsed/>
    <w:qFormat/>
    <w:uiPriority w:val="99"/>
    <w:pPr>
      <w:tabs>
        <w:tab w:val="center" w:pos="4153"/>
        <w:tab w:val="right" w:pos="8306"/>
      </w:tabs>
      <w:snapToGrid w:val="0"/>
      <w:jc w:val="left"/>
    </w:pPr>
    <w:rPr>
      <w:sz w:val="18"/>
      <w:szCs w:val="18"/>
    </w:rPr>
  </w:style>
  <w:style w:type="paragraph" w:styleId="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paragraph" w:styleId="8">
    <w:name w:val="annotation subject"/>
    <w:basedOn w:val="2"/>
    <w:next w:val="2"/>
    <w:link w:val="37"/>
    <w:semiHidden/>
    <w:unhideWhenUsed/>
    <w:qFormat/>
    <w:uiPriority w:val="99"/>
    <w:rPr>
      <w:b/>
      <w:bCs/>
    </w:rPr>
  </w:style>
  <w:style w:type="character" w:styleId="11">
    <w:name w:val="Hyperlink"/>
    <w:qFormat/>
    <w:uiPriority w:val="99"/>
    <w:rPr>
      <w:color w:val="0000FF"/>
      <w:spacing w:val="0"/>
      <w:w w:val="100"/>
      <w:szCs w:val="21"/>
      <w:u w:val="single"/>
    </w:rPr>
  </w:style>
  <w:style w:type="character" w:styleId="12">
    <w:name w:val="annotation reference"/>
    <w:basedOn w:val="10"/>
    <w:semiHidden/>
    <w:unhideWhenUsed/>
    <w:qFormat/>
    <w:uiPriority w:val="99"/>
    <w:rPr>
      <w:sz w:val="21"/>
      <w:szCs w:val="21"/>
    </w:rPr>
  </w:style>
  <w:style w:type="paragraph" w:customStyle="1" w:styleId="1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4">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1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9">
    <w:name w:val="封面标准英文名称"/>
    <w:basedOn w:val="18"/>
    <w:qFormat/>
    <w:uiPriority w:val="0"/>
    <w:pPr>
      <w:spacing w:before="370" w:line="400" w:lineRule="exact"/>
    </w:pPr>
    <w:rPr>
      <w:rFonts w:ascii="Times New Roman"/>
      <w:sz w:val="28"/>
      <w:szCs w:val="28"/>
    </w:rPr>
  </w:style>
  <w:style w:type="paragraph" w:customStyle="1" w:styleId="20">
    <w:name w:val="封面一致性程度标识"/>
    <w:basedOn w:val="19"/>
    <w:qFormat/>
    <w:uiPriority w:val="0"/>
    <w:pPr>
      <w:spacing w:before="440"/>
    </w:pPr>
    <w:rPr>
      <w:rFonts w:ascii="宋体" w:eastAsia="宋体"/>
    </w:rPr>
  </w:style>
  <w:style w:type="paragraph" w:customStyle="1" w:styleId="21">
    <w:name w:val="封面标准文稿类别"/>
    <w:basedOn w:val="20"/>
    <w:qFormat/>
    <w:uiPriority w:val="0"/>
    <w:pPr>
      <w:spacing w:after="160" w:line="240" w:lineRule="auto"/>
    </w:pPr>
    <w:rPr>
      <w:sz w:val="24"/>
    </w:rPr>
  </w:style>
  <w:style w:type="paragraph" w:customStyle="1" w:styleId="22">
    <w:name w:val="封面标准文稿编辑信息"/>
    <w:basedOn w:val="21"/>
    <w:qFormat/>
    <w:uiPriority w:val="0"/>
    <w:pPr>
      <w:spacing w:before="180" w:line="180" w:lineRule="exact"/>
    </w:pPr>
    <w:rPr>
      <w:sz w:val="21"/>
    </w:rPr>
  </w:style>
  <w:style w:type="paragraph" w:customStyle="1" w:styleId="23">
    <w:name w:val="其他发布日期"/>
    <w:basedOn w:val="1"/>
    <w:qFormat/>
    <w:uiPriority w:val="0"/>
    <w:pPr>
      <w:framePr w:w="3997" w:h="471" w:hRule="exact" w:vSpace="181" w:wrap="around" w:vAnchor="page" w:hAnchor="text" w:x="1419" w:y="14097" w:anchorLock="1"/>
      <w:widowControl/>
      <w:jc w:val="left"/>
    </w:pPr>
    <w:rPr>
      <w:rFonts w:eastAsia="黑体"/>
      <w:kern w:val="0"/>
      <w:sz w:val="28"/>
      <w:szCs w:val="20"/>
    </w:rPr>
  </w:style>
  <w:style w:type="paragraph" w:customStyle="1" w:styleId="24">
    <w:name w:val="其他实施日期"/>
    <w:basedOn w:val="1"/>
    <w:qFormat/>
    <w:uiPriority w:val="0"/>
    <w:pPr>
      <w:framePr w:w="3997" w:h="471" w:hRule="exact" w:vSpace="181" w:wrap="around" w:vAnchor="page" w:hAnchor="text" w:x="7089" w:y="14097" w:anchorLock="1"/>
      <w:widowControl/>
      <w:jc w:val="right"/>
    </w:pPr>
    <w:rPr>
      <w:rFonts w:eastAsia="黑体"/>
      <w:kern w:val="0"/>
      <w:sz w:val="28"/>
      <w:szCs w:val="20"/>
    </w:rPr>
  </w:style>
  <w:style w:type="paragraph" w:customStyle="1" w:styleId="2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7">
    <w:name w:val="发布"/>
    <w:qFormat/>
    <w:uiPriority w:val="0"/>
    <w:rPr>
      <w:rFonts w:ascii="黑体" w:eastAsia="黑体"/>
      <w:spacing w:val="85"/>
      <w:w w:val="100"/>
      <w:position w:val="3"/>
      <w:sz w:val="28"/>
      <w:szCs w:val="28"/>
    </w:rPr>
  </w:style>
  <w:style w:type="paragraph" w:customStyle="1" w:styleId="28">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29">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30">
    <w:name w:val="批注框文本 Char"/>
    <w:basedOn w:val="10"/>
    <w:link w:val="3"/>
    <w:semiHidden/>
    <w:qFormat/>
    <w:uiPriority w:val="99"/>
    <w:rPr>
      <w:rFonts w:ascii="Times New Roman" w:hAnsi="Times New Roman" w:eastAsia="宋体" w:cs="Times New Roman"/>
      <w:sz w:val="18"/>
      <w:szCs w:val="18"/>
    </w:rPr>
  </w:style>
  <w:style w:type="character" w:customStyle="1" w:styleId="31">
    <w:name w:val="页眉 Char"/>
    <w:basedOn w:val="10"/>
    <w:link w:val="5"/>
    <w:qFormat/>
    <w:uiPriority w:val="99"/>
    <w:rPr>
      <w:rFonts w:ascii="Times New Roman" w:hAnsi="Times New Roman" w:eastAsia="宋体" w:cs="Times New Roman"/>
      <w:sz w:val="18"/>
      <w:szCs w:val="18"/>
    </w:rPr>
  </w:style>
  <w:style w:type="character" w:customStyle="1" w:styleId="32">
    <w:name w:val="页脚 Char"/>
    <w:basedOn w:val="10"/>
    <w:link w:val="4"/>
    <w:semiHidden/>
    <w:qFormat/>
    <w:uiPriority w:val="99"/>
    <w:rPr>
      <w:rFonts w:ascii="Times New Roman" w:hAnsi="Times New Roman" w:eastAsia="宋体" w:cs="Times New Roman"/>
      <w:sz w:val="18"/>
      <w:szCs w:val="18"/>
    </w:rPr>
  </w:style>
  <w:style w:type="paragraph" w:customStyle="1" w:styleId="33">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4">
    <w:name w:val="章标题"/>
    <w:next w:val="26"/>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35">
    <w:name w:val="一级条标题"/>
    <w:next w:val="26"/>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character" w:customStyle="1" w:styleId="36">
    <w:name w:val="批注文字 Char"/>
    <w:basedOn w:val="10"/>
    <w:link w:val="2"/>
    <w:semiHidden/>
    <w:qFormat/>
    <w:uiPriority w:val="99"/>
    <w:rPr>
      <w:rFonts w:ascii="Times New Roman" w:hAnsi="Times New Roman" w:eastAsia="宋体" w:cs="Times New Roman"/>
      <w:szCs w:val="24"/>
    </w:rPr>
  </w:style>
  <w:style w:type="character" w:customStyle="1" w:styleId="37">
    <w:name w:val="批注主题 Char"/>
    <w:basedOn w:val="36"/>
    <w:link w:val="8"/>
    <w:semiHidden/>
    <w:qFormat/>
    <w:uiPriority w:val="99"/>
    <w:rPr>
      <w:b/>
      <w:bCs/>
    </w:rPr>
  </w:style>
  <w:style w:type="paragraph" w:customStyle="1" w:styleId="38">
    <w:name w:val="二级条标题"/>
    <w:basedOn w:val="35"/>
    <w:next w:val="26"/>
    <w:qFormat/>
    <w:uiPriority w:val="0"/>
    <w:pPr>
      <w:numPr>
        <w:ilvl w:val="2"/>
        <w:numId w:val="0"/>
      </w:numPr>
      <w:spacing w:before="50" w:after="50"/>
      <w:outlineLvl w:val="3"/>
    </w:pPr>
  </w:style>
  <w:style w:type="paragraph" w:customStyle="1" w:styleId="39">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30"/>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C199C5-F03E-4921-AB18-78711E0E1001}">
  <ds:schemaRefs/>
</ds:datastoreItem>
</file>

<file path=docProps/app.xml><?xml version="1.0" encoding="utf-8"?>
<Properties xmlns="http://schemas.openxmlformats.org/officeDocument/2006/extended-properties" xmlns:vt="http://schemas.openxmlformats.org/officeDocument/2006/docPropsVTypes">
  <Template>Normal</Template>
  <Pages>8</Pages>
  <Words>765</Words>
  <Characters>4366</Characters>
  <Lines>36</Lines>
  <Paragraphs>10</Paragraphs>
  <TotalTime>0</TotalTime>
  <ScaleCrop>false</ScaleCrop>
  <LinksUpToDate>false</LinksUpToDate>
  <CharactersWithSpaces>5121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2020-03-17T02:06:00Z</dcterms:created>
  <dc:creator>Lenovo</dc:creator>
  <cp:lastModifiedBy>郭珂邑</cp:lastModifiedBy>
  <dcterms:modified xsi:type="dcterms:W3CDTF">2020-10-13T01:11:47Z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