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rPr>
          <w:rFonts w:ascii="宋体" w:hAnsi="宋体" w:cs="宋体"/>
          <w:b/>
          <w:sz w:val="30"/>
          <w:szCs w:val="30"/>
        </w:rPr>
      </w:pPr>
    </w:p>
    <w:p>
      <w:pPr>
        <w:overflowPunct w:val="0"/>
        <w:topLinePunct/>
        <w:rPr>
          <w:rFonts w:ascii="宋体" w:hAnsi="宋体" w:cs="宋体"/>
          <w:b/>
          <w:sz w:val="30"/>
          <w:szCs w:val="30"/>
        </w:rPr>
      </w:pPr>
    </w:p>
    <w:p>
      <w:pPr>
        <w:overflowPunct w:val="0"/>
        <w:topLinePunct/>
        <w:jc w:val="center"/>
        <w:rPr>
          <w:rFonts w:ascii="宋体" w:hAnsi="宋体" w:cs="宋体"/>
          <w:b/>
          <w:sz w:val="30"/>
          <w:szCs w:val="30"/>
        </w:rPr>
      </w:pPr>
    </w:p>
    <w:p>
      <w:pPr>
        <w:overflowPunct w:val="0"/>
        <w:topLinePunct/>
        <w:jc w:val="center"/>
        <w:rPr>
          <w:rFonts w:ascii="宋体" w:hAnsi="宋体" w:cs="宋体"/>
          <w:b/>
          <w:sz w:val="30"/>
          <w:szCs w:val="30"/>
        </w:rPr>
      </w:pPr>
    </w:p>
    <w:p>
      <w:pPr>
        <w:overflowPunct w:val="0"/>
        <w:topLinePun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自然灾害综合风险普查</w:t>
      </w:r>
    </w:p>
    <w:p>
      <w:pPr>
        <w:overflowPunct w:val="0"/>
        <w:topLinePun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公益宣传视频集制作项目</w:t>
      </w:r>
    </w:p>
    <w:p>
      <w:pPr>
        <w:overflowPunct w:val="0"/>
        <w:topLinePunct/>
        <w:jc w:val="center"/>
        <w:rPr>
          <w:rFonts w:ascii="宋体" w:hAnsi="宋体" w:cs="宋体"/>
          <w:b/>
          <w:bCs/>
          <w:sz w:val="44"/>
          <w:szCs w:val="44"/>
        </w:rPr>
      </w:pPr>
    </w:p>
    <w:p>
      <w:pPr>
        <w:overflowPunct w:val="0"/>
        <w:topLinePunct/>
        <w:spacing w:line="480" w:lineRule="auto"/>
        <w:ind w:firstLine="3955" w:firstLineChars="412"/>
        <w:rPr>
          <w:rFonts w:ascii="宋体" w:hAnsi="宋体" w:cs="宋体"/>
          <w:b/>
          <w:sz w:val="96"/>
        </w:rPr>
      </w:pPr>
      <w:r>
        <w:rPr>
          <w:rFonts w:hint="eastAsia" w:ascii="宋体" w:hAnsi="宋体" w:cs="宋体"/>
          <w:b/>
          <w:sz w:val="96"/>
        </w:rPr>
        <w:t>磋</w:t>
      </w:r>
    </w:p>
    <w:p>
      <w:pPr>
        <w:overflowPunct w:val="0"/>
        <w:topLinePunct/>
        <w:jc w:val="center"/>
        <w:rPr>
          <w:rFonts w:ascii="宋体" w:hAnsi="宋体" w:cs="宋体"/>
          <w:b/>
          <w:sz w:val="96"/>
        </w:rPr>
      </w:pPr>
      <w:r>
        <w:rPr>
          <w:rFonts w:hint="eastAsia" w:ascii="宋体" w:hAnsi="宋体" w:cs="宋体"/>
          <w:b/>
          <w:sz w:val="96"/>
        </w:rPr>
        <w:t>商</w:t>
      </w:r>
    </w:p>
    <w:p>
      <w:pPr>
        <w:overflowPunct w:val="0"/>
        <w:topLinePunct/>
        <w:jc w:val="center"/>
        <w:rPr>
          <w:rFonts w:ascii="宋体" w:hAnsi="宋体" w:cs="宋体"/>
          <w:b/>
          <w:sz w:val="96"/>
        </w:rPr>
      </w:pPr>
      <w:r>
        <w:rPr>
          <w:rFonts w:hint="eastAsia" w:ascii="宋体" w:hAnsi="宋体" w:cs="宋体"/>
          <w:b/>
          <w:sz w:val="96"/>
        </w:rPr>
        <w:t>文</w:t>
      </w:r>
    </w:p>
    <w:p>
      <w:pPr>
        <w:overflowPunct w:val="0"/>
        <w:topLinePunct/>
        <w:jc w:val="center"/>
        <w:rPr>
          <w:rFonts w:ascii="宋体" w:hAnsi="宋体" w:cs="宋体"/>
          <w:b/>
          <w:sz w:val="96"/>
        </w:rPr>
      </w:pPr>
      <w:r>
        <w:rPr>
          <w:rFonts w:hint="eastAsia" w:ascii="宋体" w:hAnsi="宋体" w:cs="宋体"/>
          <w:b/>
          <w:sz w:val="96"/>
        </w:rPr>
        <w:t>件</w:t>
      </w:r>
    </w:p>
    <w:p>
      <w:pPr>
        <w:overflowPunct w:val="0"/>
        <w:topLinePunct/>
        <w:spacing w:line="360" w:lineRule="auto"/>
        <w:jc w:val="center"/>
        <w:rPr>
          <w:rFonts w:ascii="宋体" w:hAnsi="宋体" w:cs="宋体"/>
          <w:b/>
          <w:sz w:val="32"/>
          <w:szCs w:val="32"/>
        </w:rPr>
      </w:pPr>
    </w:p>
    <w:p>
      <w:pPr>
        <w:overflowPunct w:val="0"/>
        <w:topLinePunct/>
        <w:spacing w:line="360" w:lineRule="auto"/>
        <w:jc w:val="center"/>
        <w:rPr>
          <w:rFonts w:ascii="宋体" w:hAnsi="宋体" w:cs="宋体"/>
          <w:b/>
          <w:sz w:val="30"/>
          <w:szCs w:val="30"/>
        </w:rPr>
      </w:pPr>
      <w:r>
        <w:rPr>
          <w:rFonts w:hint="eastAsia" w:ascii="宋体" w:hAnsi="宋体" w:cs="宋体"/>
          <w:b/>
          <w:sz w:val="30"/>
          <w:szCs w:val="30"/>
        </w:rPr>
        <w:t>四川省应急管理厅编制</w:t>
      </w:r>
    </w:p>
    <w:p>
      <w:pPr>
        <w:overflowPunct w:val="0"/>
        <w:topLinePunct/>
        <w:spacing w:line="360" w:lineRule="auto"/>
        <w:jc w:val="center"/>
        <w:rPr>
          <w:rFonts w:ascii="宋体" w:hAnsi="宋体" w:cs="宋体"/>
          <w:b/>
          <w:sz w:val="30"/>
          <w:szCs w:val="30"/>
        </w:rPr>
      </w:pPr>
    </w:p>
    <w:p>
      <w:pPr>
        <w:overflowPunct w:val="0"/>
        <w:topLinePunct/>
        <w:spacing w:line="360" w:lineRule="auto"/>
        <w:jc w:val="center"/>
        <w:rPr>
          <w:rFonts w:ascii="宋体" w:hAnsi="宋体" w:cs="宋体"/>
          <w:b/>
          <w:sz w:val="30"/>
          <w:szCs w:val="30"/>
        </w:rPr>
      </w:pPr>
      <w:r>
        <w:rPr>
          <w:rFonts w:hint="eastAsia" w:ascii="宋体" w:hAnsi="宋体" w:cs="宋体"/>
          <w:b/>
          <w:sz w:val="30"/>
          <w:szCs w:val="30"/>
        </w:rPr>
        <w:t>二〇二一年一月</w:t>
      </w:r>
    </w:p>
    <w:p>
      <w:pPr>
        <w:overflowPunct w:val="0"/>
        <w:topLinePunct/>
        <w:spacing w:line="360" w:lineRule="auto"/>
        <w:rPr>
          <w:rFonts w:ascii="宋体" w:hAnsi="宋体" w:cs="宋体"/>
          <w:b/>
          <w:bCs/>
          <w:sz w:val="32"/>
          <w:szCs w:val="32"/>
          <w:lang w:val="zh-CN"/>
        </w:rPr>
      </w:pPr>
    </w:p>
    <w:p>
      <w:pPr>
        <w:pStyle w:val="10"/>
        <w:overflowPunct w:val="0"/>
        <w:topLinePunct/>
        <w:spacing w:line="480" w:lineRule="auto"/>
        <w:ind w:firstLine="181"/>
        <w:jc w:val="center"/>
        <w:rPr>
          <w:rFonts w:ascii="宋体" w:hAnsi="宋体" w:cs="宋体"/>
          <w:b/>
        </w:rPr>
      </w:pPr>
    </w:p>
    <w:p>
      <w:pPr>
        <w:overflowPunct w:val="0"/>
        <w:topLinePunct/>
        <w:rPr>
          <w:rFonts w:ascii="宋体" w:hAnsi="宋体" w:cs="宋体"/>
          <w:b/>
        </w:rPr>
      </w:pPr>
    </w:p>
    <w:p>
      <w:pPr>
        <w:pStyle w:val="10"/>
        <w:overflowPunct w:val="0"/>
        <w:topLinePunct/>
        <w:spacing w:line="480" w:lineRule="auto"/>
        <w:ind w:firstLine="241"/>
        <w:jc w:val="center"/>
        <w:rPr>
          <w:rFonts w:ascii="宋体" w:hAnsi="宋体" w:cs="宋体"/>
          <w:b/>
          <w:sz w:val="32"/>
          <w:szCs w:val="32"/>
        </w:rPr>
      </w:pPr>
      <w:r>
        <w:rPr>
          <w:rFonts w:hint="eastAsia" w:ascii="宋体" w:hAnsi="宋体" w:cs="宋体"/>
          <w:b/>
          <w:sz w:val="32"/>
          <w:szCs w:val="32"/>
        </w:rPr>
        <w:t>目     录</w:t>
      </w:r>
    </w:p>
    <w:p>
      <w:pPr>
        <w:overflowPunct w:val="0"/>
        <w:topLinePunct/>
        <w:spacing w:line="480" w:lineRule="auto"/>
        <w:rPr>
          <w:rFonts w:ascii="宋体" w:hAnsi="宋体" w:cs="宋体"/>
          <w:sz w:val="24"/>
          <w:szCs w:val="24"/>
        </w:rPr>
      </w:pPr>
    </w:p>
    <w:p>
      <w:pPr>
        <w:pStyle w:val="10"/>
        <w:tabs>
          <w:tab w:val="right" w:leader="dot" w:pos="9175"/>
        </w:tabs>
        <w:rPr>
          <w:rFonts w:asciiTheme="minorHAnsi" w:hAnsiTheme="minorHAnsi" w:eastAsiaTheme="minorEastAsia" w:cstheme="minorBidi"/>
          <w:bCs w:val="0"/>
          <w:caps w:val="0"/>
          <w:sz w:val="21"/>
          <w:szCs w:val="22"/>
        </w:rPr>
      </w:pPr>
      <w:r>
        <w:rPr>
          <w:rFonts w:hint="eastAsia" w:ascii="宋体" w:hAnsi="宋体" w:cs="宋体"/>
        </w:rPr>
        <w:fldChar w:fldCharType="begin"/>
      </w:r>
      <w:r>
        <w:rPr>
          <w:rFonts w:hint="eastAsia" w:ascii="宋体" w:hAnsi="宋体" w:cs="宋体"/>
        </w:rPr>
        <w:instrText xml:space="preserve">TOC \o "1-2" \h \u </w:instrText>
      </w:r>
      <w:r>
        <w:rPr>
          <w:rFonts w:hint="eastAsia" w:ascii="宋体" w:hAnsi="宋体" w:cs="宋体"/>
        </w:rPr>
        <w:fldChar w:fldCharType="separate"/>
      </w:r>
      <w:r>
        <w:fldChar w:fldCharType="begin"/>
      </w:r>
      <w:r>
        <w:instrText xml:space="preserve"> HYPERLINK \l "_Toc61359374" </w:instrText>
      </w:r>
      <w:r>
        <w:fldChar w:fldCharType="separate"/>
      </w:r>
      <w:r>
        <w:rPr>
          <w:rStyle w:val="16"/>
          <w:rFonts w:hint="eastAsia" w:ascii="宋体" w:hAnsi="宋体" w:cs="宋体"/>
        </w:rPr>
        <w:t>一、采购邀请</w:t>
      </w:r>
      <w:r>
        <w:tab/>
      </w:r>
      <w:r>
        <w:fldChar w:fldCharType="begin"/>
      </w:r>
      <w:r>
        <w:instrText xml:space="preserve"> PAGEREF _Toc61359374 \h </w:instrText>
      </w:r>
      <w:r>
        <w:fldChar w:fldCharType="separate"/>
      </w:r>
      <w:r>
        <w:t>2</w:t>
      </w:r>
      <w:r>
        <w:fldChar w:fldCharType="end"/>
      </w:r>
      <w:r>
        <w:fldChar w:fldCharType="end"/>
      </w:r>
    </w:p>
    <w:p>
      <w:pPr>
        <w:pStyle w:val="10"/>
        <w:tabs>
          <w:tab w:val="right" w:leader="dot" w:pos="9175"/>
        </w:tabs>
        <w:rPr>
          <w:rFonts w:asciiTheme="minorHAnsi" w:hAnsiTheme="minorHAnsi" w:eastAsiaTheme="minorEastAsia" w:cstheme="minorBidi"/>
          <w:bCs w:val="0"/>
          <w:caps w:val="0"/>
          <w:sz w:val="21"/>
          <w:szCs w:val="22"/>
        </w:rPr>
      </w:pPr>
      <w:r>
        <w:fldChar w:fldCharType="begin"/>
      </w:r>
      <w:r>
        <w:instrText xml:space="preserve"> HYPERLINK \l "_Toc61359375" </w:instrText>
      </w:r>
      <w:r>
        <w:fldChar w:fldCharType="separate"/>
      </w:r>
      <w:r>
        <w:rPr>
          <w:rStyle w:val="16"/>
          <w:rFonts w:hint="eastAsia" w:ascii="宋体" w:hAnsi="宋体" w:cs="宋体"/>
        </w:rPr>
        <w:t>二、磋商须知</w:t>
      </w:r>
      <w:r>
        <w:tab/>
      </w:r>
      <w:r>
        <w:fldChar w:fldCharType="begin"/>
      </w:r>
      <w:r>
        <w:instrText xml:space="preserve"> PAGEREF _Toc61359375 \h </w:instrText>
      </w:r>
      <w:r>
        <w:fldChar w:fldCharType="separate"/>
      </w:r>
      <w:r>
        <w:t>3</w:t>
      </w:r>
      <w:r>
        <w:fldChar w:fldCharType="end"/>
      </w:r>
      <w:r>
        <w:fldChar w:fldCharType="end"/>
      </w:r>
    </w:p>
    <w:p>
      <w:pPr>
        <w:pStyle w:val="10"/>
        <w:tabs>
          <w:tab w:val="right" w:leader="dot" w:pos="9175"/>
        </w:tabs>
        <w:rPr>
          <w:rFonts w:asciiTheme="minorHAnsi" w:hAnsiTheme="minorHAnsi" w:eastAsiaTheme="minorEastAsia" w:cstheme="minorBidi"/>
          <w:bCs w:val="0"/>
          <w:caps w:val="0"/>
          <w:sz w:val="21"/>
          <w:szCs w:val="22"/>
        </w:rPr>
      </w:pPr>
      <w:r>
        <w:fldChar w:fldCharType="begin"/>
      </w:r>
      <w:r>
        <w:instrText xml:space="preserve"> HYPERLINK \l "_Toc61359376" </w:instrText>
      </w:r>
      <w:r>
        <w:fldChar w:fldCharType="separate"/>
      </w:r>
      <w:r>
        <w:rPr>
          <w:rStyle w:val="16"/>
          <w:rFonts w:hint="eastAsia" w:ascii="宋体" w:hAnsi="宋体" w:cs="宋体"/>
        </w:rPr>
        <w:t>三、确定邀请参加磋商的供应商数量和方式</w:t>
      </w:r>
      <w:r>
        <w:tab/>
      </w:r>
      <w:r>
        <w:fldChar w:fldCharType="begin"/>
      </w:r>
      <w:r>
        <w:instrText xml:space="preserve"> PAGEREF _Toc61359376 \h </w:instrText>
      </w:r>
      <w:r>
        <w:fldChar w:fldCharType="separate"/>
      </w:r>
      <w:r>
        <w:t>7</w:t>
      </w:r>
      <w:r>
        <w:fldChar w:fldCharType="end"/>
      </w:r>
      <w:r>
        <w:fldChar w:fldCharType="end"/>
      </w:r>
    </w:p>
    <w:p>
      <w:pPr>
        <w:pStyle w:val="10"/>
        <w:tabs>
          <w:tab w:val="right" w:leader="dot" w:pos="9175"/>
        </w:tabs>
        <w:rPr>
          <w:rFonts w:asciiTheme="minorHAnsi" w:hAnsiTheme="minorHAnsi" w:eastAsiaTheme="minorEastAsia" w:cstheme="minorBidi"/>
          <w:bCs w:val="0"/>
          <w:caps w:val="0"/>
          <w:sz w:val="21"/>
          <w:szCs w:val="22"/>
        </w:rPr>
      </w:pPr>
      <w:r>
        <w:fldChar w:fldCharType="begin"/>
      </w:r>
      <w:r>
        <w:instrText xml:space="preserve"> HYPERLINK \l "_Toc61359377" </w:instrText>
      </w:r>
      <w:r>
        <w:fldChar w:fldCharType="separate"/>
      </w:r>
      <w:r>
        <w:rPr>
          <w:rStyle w:val="16"/>
          <w:rFonts w:hint="eastAsia" w:ascii="宋体" w:hAnsi="宋体" w:cs="宋体"/>
        </w:rPr>
        <w:t>四、供应商及采购项目的资格条件要求</w:t>
      </w:r>
      <w:r>
        <w:tab/>
      </w:r>
      <w:r>
        <w:fldChar w:fldCharType="begin"/>
      </w:r>
      <w:r>
        <w:instrText xml:space="preserve"> PAGEREF _Toc61359377 \h </w:instrText>
      </w:r>
      <w:r>
        <w:fldChar w:fldCharType="separate"/>
      </w:r>
      <w:r>
        <w:t>7</w:t>
      </w:r>
      <w:r>
        <w:fldChar w:fldCharType="end"/>
      </w:r>
      <w:r>
        <w:fldChar w:fldCharType="end"/>
      </w:r>
    </w:p>
    <w:p>
      <w:pPr>
        <w:pStyle w:val="10"/>
        <w:tabs>
          <w:tab w:val="right" w:leader="dot" w:pos="9175"/>
        </w:tabs>
        <w:rPr>
          <w:rFonts w:asciiTheme="minorHAnsi" w:hAnsiTheme="minorHAnsi" w:eastAsiaTheme="minorEastAsia" w:cstheme="minorBidi"/>
          <w:bCs w:val="0"/>
          <w:caps w:val="0"/>
          <w:sz w:val="21"/>
          <w:szCs w:val="22"/>
        </w:rPr>
      </w:pPr>
      <w:r>
        <w:fldChar w:fldCharType="begin"/>
      </w:r>
      <w:r>
        <w:instrText xml:space="preserve"> HYPERLINK \l "_Toc61359378" </w:instrText>
      </w:r>
      <w:r>
        <w:fldChar w:fldCharType="separate"/>
      </w:r>
      <w:r>
        <w:rPr>
          <w:rStyle w:val="16"/>
          <w:rFonts w:hint="eastAsia" w:ascii="宋体" w:hAnsi="宋体" w:cs="宋体"/>
        </w:rPr>
        <w:t>五、供应商应当提供的资格证明材料</w:t>
      </w:r>
      <w:r>
        <w:tab/>
      </w:r>
      <w:r>
        <w:fldChar w:fldCharType="begin"/>
      </w:r>
      <w:r>
        <w:instrText xml:space="preserve"> PAGEREF _Toc61359378 \h </w:instrText>
      </w:r>
      <w:r>
        <w:fldChar w:fldCharType="separate"/>
      </w:r>
      <w:r>
        <w:t>7</w:t>
      </w:r>
      <w:r>
        <w:fldChar w:fldCharType="end"/>
      </w:r>
      <w:r>
        <w:fldChar w:fldCharType="end"/>
      </w:r>
    </w:p>
    <w:p>
      <w:pPr>
        <w:pStyle w:val="10"/>
        <w:tabs>
          <w:tab w:val="right" w:leader="dot" w:pos="9175"/>
        </w:tabs>
        <w:rPr>
          <w:rFonts w:asciiTheme="minorHAnsi" w:hAnsiTheme="minorHAnsi" w:eastAsiaTheme="minorEastAsia" w:cstheme="minorBidi"/>
          <w:bCs w:val="0"/>
          <w:caps w:val="0"/>
          <w:sz w:val="21"/>
          <w:szCs w:val="22"/>
        </w:rPr>
      </w:pPr>
      <w:r>
        <w:fldChar w:fldCharType="begin"/>
      </w:r>
      <w:r>
        <w:instrText xml:space="preserve"> HYPERLINK \l "_Toc61359379" </w:instrText>
      </w:r>
      <w:r>
        <w:fldChar w:fldCharType="separate"/>
      </w:r>
      <w:r>
        <w:rPr>
          <w:rStyle w:val="16"/>
          <w:rFonts w:hint="eastAsia" w:ascii="宋体" w:hAnsi="宋体" w:cs="宋体"/>
        </w:rPr>
        <w:t>六、政府采购政策要求</w:t>
      </w:r>
      <w:r>
        <w:tab/>
      </w:r>
      <w:r>
        <w:fldChar w:fldCharType="begin"/>
      </w:r>
      <w:r>
        <w:instrText xml:space="preserve"> PAGEREF _Toc61359379 \h </w:instrText>
      </w:r>
      <w:r>
        <w:fldChar w:fldCharType="separate"/>
      </w:r>
      <w:r>
        <w:t>8</w:t>
      </w:r>
      <w:r>
        <w:fldChar w:fldCharType="end"/>
      </w:r>
      <w:r>
        <w:fldChar w:fldCharType="end"/>
      </w:r>
    </w:p>
    <w:p>
      <w:pPr>
        <w:pStyle w:val="10"/>
        <w:tabs>
          <w:tab w:val="right" w:leader="dot" w:pos="9175"/>
        </w:tabs>
        <w:rPr>
          <w:rFonts w:asciiTheme="minorHAnsi" w:hAnsiTheme="minorHAnsi" w:eastAsiaTheme="minorEastAsia" w:cstheme="minorBidi"/>
          <w:bCs w:val="0"/>
          <w:caps w:val="0"/>
          <w:sz w:val="21"/>
          <w:szCs w:val="22"/>
        </w:rPr>
      </w:pPr>
      <w:r>
        <w:fldChar w:fldCharType="begin"/>
      </w:r>
      <w:r>
        <w:instrText xml:space="preserve"> HYPERLINK \l "_Toc61359380" </w:instrText>
      </w:r>
      <w:r>
        <w:fldChar w:fldCharType="separate"/>
      </w:r>
      <w:r>
        <w:rPr>
          <w:rStyle w:val="16"/>
          <w:rFonts w:hint="eastAsia" w:asciiTheme="minorEastAsia" w:hAnsiTheme="minorEastAsia"/>
        </w:rPr>
        <w:t>七、体现满足采购需求、质量和服务的采购项目实质性要求</w:t>
      </w:r>
      <w:r>
        <w:tab/>
      </w:r>
      <w:r>
        <w:fldChar w:fldCharType="begin"/>
      </w:r>
      <w:r>
        <w:instrText xml:space="preserve"> PAGEREF _Toc61359380 \h </w:instrText>
      </w:r>
      <w:r>
        <w:fldChar w:fldCharType="separate"/>
      </w:r>
      <w:r>
        <w:t>8</w:t>
      </w:r>
      <w:r>
        <w:fldChar w:fldCharType="end"/>
      </w:r>
      <w:r>
        <w:fldChar w:fldCharType="end"/>
      </w:r>
    </w:p>
    <w:p>
      <w:pPr>
        <w:pStyle w:val="10"/>
        <w:tabs>
          <w:tab w:val="right" w:leader="dot" w:pos="9175"/>
        </w:tabs>
        <w:rPr>
          <w:rFonts w:asciiTheme="minorHAnsi" w:hAnsiTheme="minorHAnsi" w:eastAsiaTheme="minorEastAsia" w:cstheme="minorBidi"/>
          <w:bCs w:val="0"/>
          <w:caps w:val="0"/>
          <w:sz w:val="21"/>
          <w:szCs w:val="22"/>
        </w:rPr>
      </w:pPr>
      <w:r>
        <w:fldChar w:fldCharType="begin"/>
      </w:r>
      <w:r>
        <w:instrText xml:space="preserve"> HYPERLINK \l "_Toc61359381" </w:instrText>
      </w:r>
      <w:r>
        <w:fldChar w:fldCharType="separate"/>
      </w:r>
      <w:r>
        <w:rPr>
          <w:rStyle w:val="16"/>
          <w:rFonts w:hint="eastAsia" w:ascii="宋体" w:hAnsi="宋体" w:cs="宋体"/>
        </w:rPr>
        <w:t>八、采购项目报价要求</w:t>
      </w:r>
      <w:r>
        <w:tab/>
      </w:r>
      <w:r>
        <w:fldChar w:fldCharType="begin"/>
      </w:r>
      <w:r>
        <w:instrText xml:space="preserve"> PAGEREF _Toc61359381 \h </w:instrText>
      </w:r>
      <w:r>
        <w:fldChar w:fldCharType="separate"/>
      </w:r>
      <w:r>
        <w:t>10</w:t>
      </w:r>
      <w:r>
        <w:fldChar w:fldCharType="end"/>
      </w:r>
      <w:r>
        <w:fldChar w:fldCharType="end"/>
      </w:r>
    </w:p>
    <w:p>
      <w:pPr>
        <w:pStyle w:val="10"/>
        <w:tabs>
          <w:tab w:val="right" w:leader="dot" w:pos="9175"/>
        </w:tabs>
        <w:rPr>
          <w:rFonts w:asciiTheme="minorHAnsi" w:hAnsiTheme="minorHAnsi" w:eastAsiaTheme="minorEastAsia" w:cstheme="minorBidi"/>
          <w:bCs w:val="0"/>
          <w:caps w:val="0"/>
          <w:sz w:val="21"/>
          <w:szCs w:val="22"/>
        </w:rPr>
      </w:pPr>
      <w:r>
        <w:fldChar w:fldCharType="begin"/>
      </w:r>
      <w:r>
        <w:instrText xml:space="preserve"> HYPERLINK \l "_Toc61359382" </w:instrText>
      </w:r>
      <w:r>
        <w:fldChar w:fldCharType="separate"/>
      </w:r>
      <w:r>
        <w:rPr>
          <w:rStyle w:val="16"/>
          <w:rFonts w:hint="eastAsia" w:ascii="宋体" w:hAnsi="宋体" w:cs="宋体"/>
        </w:rPr>
        <w:t>九、供应商响应文件编制要求</w:t>
      </w:r>
      <w:r>
        <w:tab/>
      </w:r>
      <w:r>
        <w:fldChar w:fldCharType="begin"/>
      </w:r>
      <w:r>
        <w:instrText xml:space="preserve"> PAGEREF _Toc61359382 \h </w:instrText>
      </w:r>
      <w:r>
        <w:fldChar w:fldCharType="separate"/>
      </w:r>
      <w:r>
        <w:t>10</w:t>
      </w:r>
      <w:r>
        <w:fldChar w:fldCharType="end"/>
      </w:r>
      <w:r>
        <w:fldChar w:fldCharType="end"/>
      </w:r>
    </w:p>
    <w:p>
      <w:pPr>
        <w:pStyle w:val="10"/>
        <w:tabs>
          <w:tab w:val="right" w:leader="dot" w:pos="9175"/>
        </w:tabs>
        <w:rPr>
          <w:rFonts w:asciiTheme="minorHAnsi" w:hAnsiTheme="minorHAnsi" w:eastAsiaTheme="minorEastAsia" w:cstheme="minorBidi"/>
          <w:bCs w:val="0"/>
          <w:caps w:val="0"/>
          <w:sz w:val="21"/>
          <w:szCs w:val="22"/>
        </w:rPr>
      </w:pPr>
      <w:r>
        <w:fldChar w:fldCharType="begin"/>
      </w:r>
      <w:r>
        <w:instrText xml:space="preserve"> HYPERLINK \l "_Toc61359383" </w:instrText>
      </w:r>
      <w:r>
        <w:fldChar w:fldCharType="separate"/>
      </w:r>
      <w:r>
        <w:rPr>
          <w:rStyle w:val="16"/>
          <w:rFonts w:hint="eastAsia" w:ascii="宋体" w:hAnsi="宋体" w:cs="宋体"/>
        </w:rPr>
        <w:t>十、评审程序、方法和标准</w:t>
      </w:r>
      <w:r>
        <w:tab/>
      </w:r>
      <w:r>
        <w:fldChar w:fldCharType="begin"/>
      </w:r>
      <w:r>
        <w:instrText xml:space="preserve"> PAGEREF _Toc61359383 \h </w:instrText>
      </w:r>
      <w:r>
        <w:fldChar w:fldCharType="separate"/>
      </w:r>
      <w:r>
        <w:t>11</w:t>
      </w:r>
      <w:r>
        <w:fldChar w:fldCharType="end"/>
      </w:r>
      <w:r>
        <w:fldChar w:fldCharType="end"/>
      </w:r>
    </w:p>
    <w:p>
      <w:pPr>
        <w:pStyle w:val="10"/>
        <w:tabs>
          <w:tab w:val="right" w:leader="dot" w:pos="9175"/>
        </w:tabs>
        <w:rPr>
          <w:rFonts w:asciiTheme="minorHAnsi" w:hAnsiTheme="minorHAnsi" w:eastAsiaTheme="minorEastAsia" w:cstheme="minorBidi"/>
          <w:bCs w:val="0"/>
          <w:caps w:val="0"/>
          <w:sz w:val="21"/>
          <w:szCs w:val="22"/>
        </w:rPr>
      </w:pPr>
      <w:r>
        <w:fldChar w:fldCharType="begin"/>
      </w:r>
      <w:r>
        <w:instrText xml:space="preserve"> HYPERLINK \l "_Toc61359384" </w:instrText>
      </w:r>
      <w:r>
        <w:fldChar w:fldCharType="separate"/>
      </w:r>
      <w:r>
        <w:rPr>
          <w:rStyle w:val="16"/>
          <w:rFonts w:hint="eastAsia" w:ascii="宋体" w:hAnsi="宋体" w:cs="宋体"/>
        </w:rPr>
        <w:t>十二、合同主要条款（草案）</w:t>
      </w:r>
      <w:r>
        <w:tab/>
      </w:r>
      <w:r>
        <w:fldChar w:fldCharType="begin"/>
      </w:r>
      <w:r>
        <w:instrText xml:space="preserve"> PAGEREF _Toc61359384 \h </w:instrText>
      </w:r>
      <w:r>
        <w:fldChar w:fldCharType="separate"/>
      </w:r>
      <w:r>
        <w:t>26</w:t>
      </w:r>
      <w:r>
        <w:fldChar w:fldCharType="end"/>
      </w:r>
      <w:r>
        <w:fldChar w:fldCharType="end"/>
      </w:r>
    </w:p>
    <w:p>
      <w:pPr>
        <w:pStyle w:val="10"/>
        <w:tabs>
          <w:tab w:val="right" w:leader="dot" w:pos="9175"/>
        </w:tabs>
        <w:rPr>
          <w:rFonts w:asciiTheme="minorHAnsi" w:hAnsiTheme="minorHAnsi" w:eastAsiaTheme="minorEastAsia" w:cstheme="minorBidi"/>
          <w:bCs w:val="0"/>
          <w:caps w:val="0"/>
          <w:sz w:val="21"/>
          <w:szCs w:val="22"/>
        </w:rPr>
      </w:pPr>
      <w:r>
        <w:fldChar w:fldCharType="begin"/>
      </w:r>
      <w:r>
        <w:instrText xml:space="preserve"> HYPERLINK \l "_Toc61359385" </w:instrText>
      </w:r>
      <w:r>
        <w:fldChar w:fldCharType="separate"/>
      </w:r>
      <w:r>
        <w:rPr>
          <w:rStyle w:val="16"/>
          <w:rFonts w:hint="eastAsia" w:ascii="宋体" w:hAnsi="宋体" w:cs="宋体"/>
        </w:rPr>
        <w:t>十三、采购项目履约验收标准和要求</w:t>
      </w:r>
      <w:r>
        <w:tab/>
      </w:r>
      <w:r>
        <w:fldChar w:fldCharType="begin"/>
      </w:r>
      <w:r>
        <w:instrText xml:space="preserve"> PAGEREF _Toc61359385 \h </w:instrText>
      </w:r>
      <w:r>
        <w:fldChar w:fldCharType="separate"/>
      </w:r>
      <w:r>
        <w:t>29</w:t>
      </w:r>
      <w:r>
        <w:fldChar w:fldCharType="end"/>
      </w:r>
      <w:r>
        <w:fldChar w:fldCharType="end"/>
      </w:r>
    </w:p>
    <w:p>
      <w:pPr>
        <w:overflowPunct w:val="0"/>
        <w:topLinePunct/>
        <w:rPr>
          <w:rFonts w:ascii="宋体" w:hAnsi="宋体" w:cs="宋体"/>
        </w:rPr>
      </w:pPr>
      <w:r>
        <w:rPr>
          <w:rFonts w:hint="eastAsia" w:ascii="宋体" w:hAnsi="宋体" w:cs="宋体"/>
        </w:rPr>
        <w:fldChar w:fldCharType="end"/>
      </w:r>
    </w:p>
    <w:p>
      <w:pPr>
        <w:overflowPunct w:val="0"/>
        <w:topLinePunct/>
        <w:rPr>
          <w:rFonts w:ascii="宋体" w:hAnsi="宋体" w:cs="宋体"/>
        </w:rPr>
      </w:pPr>
    </w:p>
    <w:p>
      <w:pPr>
        <w:overflowPunct w:val="0"/>
        <w:topLinePunct/>
        <w:rPr>
          <w:rFonts w:ascii="宋体" w:hAnsi="宋体" w:cs="宋体"/>
        </w:rPr>
      </w:pPr>
    </w:p>
    <w:p>
      <w:pPr>
        <w:overflowPunct w:val="0"/>
        <w:topLinePunct/>
        <w:rPr>
          <w:rFonts w:ascii="宋体" w:hAnsi="宋体" w:cs="宋体"/>
        </w:rPr>
      </w:pPr>
    </w:p>
    <w:p>
      <w:pPr>
        <w:overflowPunct w:val="0"/>
        <w:topLinePunct/>
        <w:rPr>
          <w:rFonts w:ascii="宋体" w:hAnsi="宋体" w:cs="宋体"/>
        </w:rPr>
      </w:pPr>
    </w:p>
    <w:p>
      <w:pPr>
        <w:overflowPunct w:val="0"/>
        <w:topLinePunct/>
        <w:rPr>
          <w:rFonts w:ascii="宋体" w:hAnsi="宋体" w:cs="宋体"/>
        </w:rPr>
      </w:pPr>
    </w:p>
    <w:p>
      <w:pPr>
        <w:overflowPunct w:val="0"/>
        <w:topLinePunct/>
        <w:rPr>
          <w:rFonts w:ascii="宋体" w:hAnsi="宋体" w:cs="宋体"/>
        </w:rPr>
      </w:pPr>
    </w:p>
    <w:p>
      <w:pPr>
        <w:overflowPunct w:val="0"/>
        <w:topLinePunct/>
        <w:rPr>
          <w:rFonts w:ascii="宋体" w:hAnsi="宋体" w:cs="宋体"/>
        </w:rPr>
      </w:pPr>
    </w:p>
    <w:p>
      <w:pPr>
        <w:overflowPunct w:val="0"/>
        <w:topLinePunct/>
        <w:rPr>
          <w:rFonts w:ascii="宋体" w:hAnsi="宋体" w:cs="宋体"/>
        </w:rPr>
      </w:pPr>
    </w:p>
    <w:p>
      <w:pPr>
        <w:overflowPunct w:val="0"/>
        <w:topLinePunct/>
        <w:rPr>
          <w:rFonts w:ascii="宋体" w:hAnsi="宋体" w:cs="宋体"/>
        </w:rPr>
      </w:pPr>
    </w:p>
    <w:p>
      <w:pPr>
        <w:overflowPunct w:val="0"/>
        <w:topLinePunct/>
        <w:rPr>
          <w:rFonts w:ascii="宋体" w:hAnsi="宋体" w:cs="宋体"/>
        </w:rPr>
      </w:pPr>
    </w:p>
    <w:p>
      <w:pPr>
        <w:overflowPunct w:val="0"/>
        <w:topLinePunct/>
        <w:rPr>
          <w:rFonts w:ascii="宋体" w:hAnsi="宋体" w:cs="宋体"/>
        </w:rPr>
      </w:pPr>
    </w:p>
    <w:p>
      <w:pPr>
        <w:overflowPunct w:val="0"/>
        <w:topLinePunct/>
        <w:rPr>
          <w:rFonts w:ascii="宋体" w:hAnsi="宋体" w:cs="宋体"/>
        </w:rPr>
      </w:pPr>
    </w:p>
    <w:p>
      <w:pPr>
        <w:overflowPunct w:val="0"/>
        <w:topLinePunct/>
        <w:rPr>
          <w:rFonts w:ascii="宋体" w:hAnsi="宋体" w:cs="宋体"/>
        </w:rPr>
      </w:pPr>
    </w:p>
    <w:p>
      <w:pPr>
        <w:pStyle w:val="2"/>
        <w:overflowPunct w:val="0"/>
        <w:topLinePunct/>
        <w:rPr>
          <w:rFonts w:ascii="宋体" w:hAnsi="宋体" w:eastAsia="宋体" w:cs="宋体"/>
        </w:rPr>
      </w:pPr>
      <w:bookmarkStart w:id="0" w:name="_Toc61359374"/>
      <w:bookmarkStart w:id="1" w:name="_Toc193105917"/>
      <w:bookmarkStart w:id="2" w:name="_Toc10303"/>
      <w:bookmarkStart w:id="3" w:name="_Toc193106063"/>
      <w:bookmarkStart w:id="4" w:name="_Toc26444"/>
      <w:bookmarkStart w:id="5" w:name="_Toc193106174"/>
      <w:r>
        <w:rPr>
          <w:rFonts w:hint="eastAsia" w:ascii="宋体" w:hAnsi="宋体" w:eastAsia="宋体" w:cs="宋体"/>
        </w:rPr>
        <w:t>一、采购邀请</w:t>
      </w:r>
      <w:bookmarkEnd w:id="0"/>
      <w:bookmarkEnd w:id="1"/>
      <w:bookmarkEnd w:id="2"/>
      <w:bookmarkEnd w:id="3"/>
      <w:bookmarkEnd w:id="4"/>
      <w:bookmarkEnd w:id="5"/>
    </w:p>
    <w:p>
      <w:pPr>
        <w:overflowPunct w:val="0"/>
        <w:topLinePunct/>
        <w:spacing w:line="360" w:lineRule="auto"/>
        <w:ind w:firstLine="480" w:firstLineChars="200"/>
        <w:rPr>
          <w:rFonts w:ascii="方正小标宋简体" w:hAnsi="方正小标宋简体" w:eastAsia="方正小标宋简体" w:cs="方正小标宋简体"/>
          <w:sz w:val="44"/>
          <w:szCs w:val="44"/>
        </w:rPr>
      </w:pPr>
      <w:r>
        <w:rPr>
          <w:rFonts w:hint="eastAsia" w:ascii="宋体" w:hAnsi="宋体" w:cs="宋体"/>
          <w:sz w:val="24"/>
          <w:szCs w:val="24"/>
        </w:rPr>
        <w:t>四川省应急管理厅拟以竞争性磋商方式对自然灾害综合风险普查公益宣传视频集制作项目</w:t>
      </w:r>
      <w:r>
        <w:rPr>
          <w:rFonts w:hint="eastAsia" w:ascii="宋体" w:hAnsi="宋体" w:cs="宋体"/>
          <w:bCs/>
          <w:color w:val="000000"/>
          <w:sz w:val="24"/>
          <w:szCs w:val="24"/>
          <w:shd w:val="clear" w:color="auto" w:fill="FFFFFF"/>
        </w:rPr>
        <w:t>进行采购</w:t>
      </w:r>
      <w:r>
        <w:rPr>
          <w:rFonts w:hint="eastAsia" w:ascii="宋体" w:hAnsi="宋体" w:cs="宋体"/>
          <w:sz w:val="24"/>
          <w:szCs w:val="24"/>
        </w:rPr>
        <w:t>，欢迎贵厂（公司）按照本邀请书的有关要求前来磋商。</w:t>
      </w:r>
    </w:p>
    <w:p>
      <w:pPr>
        <w:overflowPunct w:val="0"/>
        <w:topLinePunct/>
        <w:spacing w:line="360" w:lineRule="auto"/>
        <w:ind w:firstLine="480" w:firstLineChars="200"/>
        <w:rPr>
          <w:rFonts w:ascii="宋体" w:hAnsi="宋体" w:cs="宋体"/>
          <w:sz w:val="24"/>
          <w:szCs w:val="24"/>
        </w:rPr>
      </w:pPr>
      <w:r>
        <w:rPr>
          <w:rFonts w:hint="eastAsia" w:ascii="宋体" w:hAnsi="宋体" w:cs="宋体"/>
          <w:bCs/>
          <w:sz w:val="24"/>
          <w:szCs w:val="24"/>
        </w:rPr>
        <w:t>1.采购项</w:t>
      </w:r>
      <w:r>
        <w:rPr>
          <w:rFonts w:hint="eastAsia" w:ascii="宋体" w:hAnsi="宋体" w:cs="宋体"/>
          <w:sz w:val="24"/>
          <w:szCs w:val="24"/>
        </w:rPr>
        <w:t>目：自然灾害综合风险普查公益宣传视频集制作项目</w:t>
      </w:r>
    </w:p>
    <w:p>
      <w:pPr>
        <w:widowControl/>
        <w:overflowPunct w:val="0"/>
        <w:topLinePunct/>
        <w:spacing w:line="360" w:lineRule="auto"/>
        <w:ind w:firstLine="480" w:firstLineChars="200"/>
        <w:rPr>
          <w:rFonts w:hint="eastAsia" w:ascii="宋体" w:hAnsi="宋体" w:eastAsia="宋体" w:cs="宋体"/>
          <w:kern w:val="2"/>
          <w:sz w:val="24"/>
          <w:szCs w:val="24"/>
          <w:lang w:val="en-US" w:eastAsia="zh-CN" w:bidi="ar-SA"/>
        </w:rPr>
      </w:pPr>
      <w:bookmarkStart w:id="6" w:name="_Toc32307"/>
      <w:bookmarkStart w:id="7" w:name="_Toc4482"/>
      <w:r>
        <w:rPr>
          <w:rFonts w:hint="eastAsia" w:ascii="宋体" w:hAnsi="宋体" w:eastAsia="宋体" w:cs="宋体"/>
          <w:kern w:val="2"/>
          <w:sz w:val="24"/>
          <w:szCs w:val="24"/>
          <w:lang w:val="en-US" w:eastAsia="zh-CN" w:bidi="ar-SA"/>
        </w:rPr>
        <w:t>2.项目概述（具体内容详见第七章）</w:t>
      </w:r>
    </w:p>
    <w:bookmarkEnd w:id="6"/>
    <w:bookmarkEnd w:id="7"/>
    <w:p>
      <w:pPr>
        <w:widowControl/>
        <w:overflowPunct w:val="0"/>
        <w:topLinePunct/>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为深入贯彻落实《国务院办公厅关于开展第一次全国自然灾害综合风险普查的通知》精神，进一步增强广大人民群众对第一次全国自然灾害综合风险普查工作的了解和支持，促进社会各界对普查工作的配合与参与，为我省普查工作顺利开展创造良好的社会环境和舆论氛围，按照国务院第一次全国自然灾害综合风险普查领导小组办公室《关于启用普查标志的通知》和《关于发布普查工作口号标语和海报的通知》，以及关于规范自然灾害综合风险普查宣传活动的有关要求，结合《四川省第一次全国自然灾害综合风险普查总体方案》中明确的普查任务，现就自然灾害综合风险普查公益宣传视频集制作项目向社会购买服务。该项目主要内容为：制作专题片，主要分两类，第一类为综述公益宣传片，共一部，时长约4分钟；第二类为新媒体公益宣传片，共三部。其中一部是以访谈介绍、基层调查实景拍摄、特效动画、数据展示等形式为主的公益宣传片，时长约2分钟；另外两部为MG动画，每部时长约1分钟，需进行形象设计，能适应各大视频网站和APP的播放平台。让观看者能直观了解自然灾害综合风险普查的目的意义、方式方法等，从而更好地推进自然灾害综合风险普查工作。</w:t>
      </w:r>
    </w:p>
    <w:p>
      <w:pPr>
        <w:widowControl/>
        <w:overflowPunct w:val="0"/>
        <w:topLinePunct/>
        <w:spacing w:line="360" w:lineRule="auto"/>
        <w:ind w:firstLine="480" w:firstLineChars="200"/>
        <w:rPr>
          <w:rFonts w:hint="eastAsia" w:ascii="宋体" w:hAnsi="宋体" w:eastAsia="宋体" w:cs="宋体"/>
          <w:kern w:val="2"/>
          <w:sz w:val="24"/>
          <w:szCs w:val="24"/>
          <w:lang w:val="en-US" w:eastAsia="zh-CN" w:bidi="ar-SA"/>
        </w:rPr>
      </w:pPr>
      <w:bookmarkStart w:id="136" w:name="_GoBack"/>
      <w:bookmarkEnd w:id="136"/>
      <w:r>
        <w:rPr>
          <w:rFonts w:hint="eastAsia" w:ascii="宋体" w:hAnsi="宋体" w:eastAsia="宋体" w:cs="宋体"/>
          <w:kern w:val="2"/>
          <w:sz w:val="24"/>
          <w:szCs w:val="24"/>
          <w:lang w:val="en-US" w:eastAsia="zh-CN" w:bidi="ar-SA"/>
        </w:rPr>
        <w:t>3.本项目采购预算：人民币20万元。</w:t>
      </w:r>
    </w:p>
    <w:p>
      <w:pPr>
        <w:pStyle w:val="21"/>
        <w:overflowPunct w:val="0"/>
        <w:topLinePunct/>
        <w:spacing w:line="360" w:lineRule="auto"/>
        <w:ind w:firstLine="480"/>
        <w:rPr>
          <w:rFonts w:hint="eastAsia" w:ascii="宋体" w:hAnsi="宋体" w:eastAsia="宋体" w:cs="宋体"/>
          <w:kern w:val="2"/>
          <w:sz w:val="24"/>
          <w:szCs w:val="24"/>
          <w:lang w:val="en-US" w:eastAsia="zh-CN" w:bidi="ar-SA"/>
        </w:rPr>
      </w:pPr>
      <w:r>
        <w:rPr>
          <w:rFonts w:hint="eastAsia" w:ascii="宋体" w:hAnsi="宋体" w:cs="宋体"/>
          <w:bCs/>
          <w:sz w:val="24"/>
        </w:rPr>
        <w:t>4.报名方式：供应商</w:t>
      </w:r>
      <w:r>
        <w:rPr>
          <w:rFonts w:hint="eastAsia" w:ascii="宋体" w:hAnsi="宋体" w:eastAsia="宋体" w:cs="宋体"/>
          <w:kern w:val="2"/>
          <w:sz w:val="24"/>
          <w:szCs w:val="24"/>
          <w:lang w:val="en-US" w:eastAsia="zh-CN" w:bidi="ar-SA"/>
        </w:rPr>
        <w:t>填写报</w:t>
      </w:r>
      <w:r>
        <w:rPr>
          <w:rFonts w:hint="eastAsia" w:ascii="宋体" w:hAnsi="宋体" w:eastAsia="宋体" w:cs="宋体"/>
          <w:kern w:val="2"/>
          <w:sz w:val="24"/>
          <w:szCs w:val="24"/>
          <w:lang w:val="en-US" w:eastAsia="zh-CN" w:bidi="ar-SA"/>
        </w:rPr>
        <w:t>名表于2021年1月31</w:t>
      </w:r>
      <w:r>
        <w:rPr>
          <w:rFonts w:hint="eastAsia" w:ascii="宋体" w:hAnsi="宋体" w:eastAsia="宋体" w:cs="宋体"/>
          <w:kern w:val="2"/>
          <w:sz w:val="24"/>
          <w:szCs w:val="24"/>
          <w:lang w:val="en-US" w:eastAsia="zh-CN" w:bidi="ar-SA"/>
        </w:rPr>
        <w:t>日17:00（北京时间）</w:t>
      </w:r>
      <w:r>
        <w:rPr>
          <w:rFonts w:hint="eastAsia" w:ascii="宋体" w:hAnsi="宋体" w:eastAsia="宋体" w:cs="宋体"/>
          <w:kern w:val="2"/>
          <w:sz w:val="24"/>
          <w:szCs w:val="24"/>
          <w:lang w:val="en-US" w:eastAsia="zh-CN" w:bidi="ar-SA"/>
        </w:rPr>
        <w:t>前发送至指定邮箱598292432@qq.com（报名表发送成功后，请务必与联系人确认）</w:t>
      </w:r>
      <w:r>
        <w:rPr>
          <w:rFonts w:hint="eastAsia" w:ascii="宋体" w:hAnsi="宋体" w:eastAsia="宋体" w:cs="宋体"/>
          <w:kern w:val="2"/>
          <w:sz w:val="24"/>
          <w:szCs w:val="24"/>
          <w:lang w:val="en-US" w:eastAsia="zh-CN" w:bidi="ar-SA"/>
        </w:rPr>
        <w:t>，未在规定时间内提交报名表的供应商视为放弃参加本次磋商项目。</w:t>
      </w:r>
    </w:p>
    <w:p>
      <w:pPr>
        <w:widowControl/>
        <w:overflowPunct w:val="0"/>
        <w:topLinePunct/>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5.磋商文件自2021年1月</w:t>
      </w:r>
      <w:r>
        <w:rPr>
          <w:rFonts w:hint="eastAsia" w:ascii="宋体" w:hAnsi="宋体" w:cs="宋体"/>
          <w:kern w:val="2"/>
          <w:sz w:val="24"/>
          <w:szCs w:val="24"/>
          <w:lang w:val="en-US" w:eastAsia="zh-CN" w:bidi="ar-SA"/>
        </w:rPr>
        <w:t>22</w:t>
      </w:r>
      <w:r>
        <w:rPr>
          <w:rFonts w:hint="eastAsia" w:ascii="宋体" w:hAnsi="宋体" w:eastAsia="宋体" w:cs="宋体"/>
          <w:kern w:val="2"/>
          <w:sz w:val="24"/>
          <w:szCs w:val="24"/>
          <w:lang w:val="en-US" w:eastAsia="zh-CN" w:bidi="ar-SA"/>
        </w:rPr>
        <w:t>日至2021年</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月</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日，在四川省应急管理厅官网获取。</w:t>
      </w:r>
    </w:p>
    <w:p>
      <w:pPr>
        <w:widowControl/>
        <w:overflowPunct w:val="0"/>
        <w:topLinePunct/>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6.供应商提交响应文件时间：2021年</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月</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日9:00至2021年</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月</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日9:30（北京时间）。</w:t>
      </w:r>
    </w:p>
    <w:p>
      <w:pPr>
        <w:widowControl/>
        <w:overflowPunct w:val="0"/>
        <w:topLinePunct/>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响应文件提交的截止时间：2021年2月3日9:30（北京时间）。</w:t>
      </w:r>
    </w:p>
    <w:p>
      <w:pPr>
        <w:widowControl/>
        <w:overflowPunct w:val="0"/>
        <w:topLinePunct/>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 开启时间:2021年</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月</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日9:40</w:t>
      </w:r>
      <w:r>
        <w:rPr>
          <w:rFonts w:hint="eastAsia" w:ascii="宋体" w:hAnsi="宋体" w:cs="宋体"/>
          <w:kern w:val="2"/>
          <w:sz w:val="24"/>
          <w:szCs w:val="24"/>
          <w:lang w:val="en-US" w:eastAsia="zh-CN" w:bidi="ar-SA"/>
        </w:rPr>
        <w:t>（北京时间）</w:t>
      </w:r>
      <w:r>
        <w:rPr>
          <w:rFonts w:hint="eastAsia" w:ascii="宋体" w:hAnsi="宋体" w:eastAsia="宋体" w:cs="宋体"/>
          <w:kern w:val="2"/>
          <w:sz w:val="24"/>
          <w:szCs w:val="24"/>
          <w:lang w:val="en-US" w:eastAsia="zh-CN" w:bidi="ar-SA"/>
        </w:rPr>
        <w:t>。</w:t>
      </w:r>
    </w:p>
    <w:p>
      <w:pPr>
        <w:tabs>
          <w:tab w:val="left" w:pos="7740"/>
        </w:tabs>
        <w:overflowPunct w:val="0"/>
        <w:topLinePunct/>
        <w:spacing w:line="360" w:lineRule="auto"/>
        <w:ind w:firstLine="480" w:firstLineChars="200"/>
        <w:rPr>
          <w:rFonts w:ascii="宋体" w:hAnsi="宋体" w:cs="宋体"/>
          <w:bCs/>
          <w:sz w:val="24"/>
          <w:szCs w:val="24"/>
        </w:rPr>
      </w:pPr>
      <w:r>
        <w:rPr>
          <w:rFonts w:hint="eastAsia" w:ascii="宋体" w:hAnsi="宋体" w:eastAsia="宋体" w:cs="宋体"/>
          <w:kern w:val="2"/>
          <w:sz w:val="24"/>
          <w:szCs w:val="24"/>
          <w:lang w:val="en-US" w:eastAsia="zh-CN" w:bidi="ar-SA"/>
        </w:rPr>
        <w:t>8.提交响应文件地点：四川省成都市武阳大道三段201号四川</w:t>
      </w:r>
      <w:r>
        <w:rPr>
          <w:rFonts w:hint="eastAsia" w:ascii="宋体" w:hAnsi="宋体" w:cs="宋体"/>
          <w:bCs/>
          <w:sz w:val="24"/>
          <w:szCs w:val="24"/>
        </w:rPr>
        <w:t>省应急管理厅三楼大厅（省应急管理厅正门左手一楼，乘坐1</w:t>
      </w:r>
      <w:r>
        <w:rPr>
          <w:rFonts w:hint="eastAsia" w:ascii="宋体" w:hAnsi="宋体" w:cs="宋体"/>
          <w:bCs/>
          <w:sz w:val="24"/>
          <w:szCs w:val="24"/>
          <w:lang w:eastAsia="zh-CN"/>
        </w:rPr>
        <w:t>号、</w:t>
      </w:r>
      <w:r>
        <w:rPr>
          <w:rFonts w:hint="eastAsia" w:ascii="宋体" w:hAnsi="宋体" w:cs="宋体"/>
          <w:bCs/>
          <w:sz w:val="24"/>
          <w:szCs w:val="24"/>
        </w:rPr>
        <w:t>2号电梯上三楼，出电梯左拐即到）。</w:t>
      </w:r>
    </w:p>
    <w:p>
      <w:pPr>
        <w:tabs>
          <w:tab w:val="left" w:pos="7740"/>
        </w:tabs>
        <w:overflowPunct w:val="0"/>
        <w:topLinePunct/>
        <w:spacing w:line="360" w:lineRule="auto"/>
        <w:ind w:firstLine="480" w:firstLineChars="200"/>
        <w:rPr>
          <w:rFonts w:ascii="宋体" w:hAnsi="宋体" w:cs="宋体"/>
          <w:bCs/>
          <w:sz w:val="24"/>
          <w:szCs w:val="24"/>
        </w:rPr>
      </w:pPr>
      <w:r>
        <w:rPr>
          <w:rFonts w:hint="eastAsia" w:ascii="宋体" w:hAnsi="宋体" w:cs="宋体"/>
          <w:bCs/>
          <w:sz w:val="24"/>
          <w:szCs w:val="24"/>
        </w:rPr>
        <w:t>9.磋商地点：四川省成都市武阳大道三段201号四川省应急管理厅三楼指定会议室。</w:t>
      </w:r>
    </w:p>
    <w:p>
      <w:pPr>
        <w:overflowPunct w:val="0"/>
        <w:topLinePunct/>
        <w:spacing w:line="360" w:lineRule="auto"/>
        <w:ind w:firstLine="480" w:firstLineChars="200"/>
        <w:rPr>
          <w:rFonts w:ascii="宋体" w:hAnsi="宋体" w:cs="宋体"/>
          <w:bCs/>
          <w:sz w:val="24"/>
          <w:szCs w:val="24"/>
        </w:rPr>
      </w:pPr>
      <w:r>
        <w:rPr>
          <w:rFonts w:hint="eastAsia" w:ascii="宋体" w:hAnsi="宋体" w:cs="宋体"/>
          <w:bCs/>
          <w:sz w:val="24"/>
          <w:szCs w:val="24"/>
        </w:rPr>
        <w:t>10.参加磋商的供应商必须于当日规定时间内签到并递交响应文件，供应商在截止时间后送达的响应文件，为无效响应文件。</w:t>
      </w:r>
    </w:p>
    <w:p>
      <w:pPr>
        <w:pStyle w:val="17"/>
        <w:overflowPunct w:val="0"/>
        <w:topLinePunct/>
        <w:ind w:firstLine="480"/>
        <w:rPr>
          <w:rFonts w:ascii="宋体" w:hAnsi="宋体" w:cs="宋体"/>
          <w:bCs/>
          <w:sz w:val="24"/>
        </w:rPr>
      </w:pPr>
      <w:r>
        <w:rPr>
          <w:rFonts w:hint="eastAsia" w:ascii="宋体" w:hAnsi="宋体" w:cs="宋体"/>
          <w:bCs/>
          <w:sz w:val="24"/>
        </w:rPr>
        <w:t>11.采 购 人： 四川省应急管理厅</w:t>
      </w:r>
    </w:p>
    <w:p>
      <w:pPr>
        <w:pStyle w:val="17"/>
        <w:overflowPunct w:val="0"/>
        <w:topLinePunct/>
        <w:ind w:firstLine="480"/>
        <w:rPr>
          <w:rFonts w:hint="eastAsia" w:ascii="宋体" w:hAnsi="宋体" w:eastAsia="宋体" w:cs="宋体"/>
          <w:sz w:val="24"/>
          <w:lang w:eastAsia="zh-CN"/>
        </w:rPr>
      </w:pPr>
      <w:r>
        <w:rPr>
          <w:rFonts w:hint="eastAsia" w:ascii="宋体" w:hAnsi="宋体" w:cs="宋体"/>
          <w:bCs/>
          <w:sz w:val="24"/>
        </w:rPr>
        <w:t xml:space="preserve">   联 系 人： </w:t>
      </w:r>
      <w:r>
        <w:rPr>
          <w:rFonts w:hint="eastAsia" w:ascii="宋体" w:hAnsi="宋体" w:cs="宋体"/>
          <w:sz w:val="24"/>
        </w:rPr>
        <w:t>林</w:t>
      </w:r>
      <w:r>
        <w:rPr>
          <w:rFonts w:hint="eastAsia" w:ascii="宋体" w:hAnsi="宋体" w:cs="宋体"/>
          <w:sz w:val="24"/>
          <w:lang w:eastAsia="zh-CN"/>
        </w:rPr>
        <w:t>老师</w:t>
      </w:r>
    </w:p>
    <w:p>
      <w:pPr>
        <w:pStyle w:val="17"/>
        <w:overflowPunct w:val="0"/>
        <w:topLinePunct/>
        <w:ind w:firstLine="480"/>
        <w:rPr>
          <w:rFonts w:ascii="宋体" w:hAnsi="宋体" w:cs="宋体"/>
          <w:sz w:val="24"/>
        </w:rPr>
      </w:pPr>
      <w:r>
        <w:rPr>
          <w:rFonts w:hint="eastAsia" w:ascii="宋体" w:hAnsi="宋体" w:cs="宋体"/>
          <w:sz w:val="24"/>
        </w:rPr>
        <w:t xml:space="preserve">   联系电话： 18381684293</w:t>
      </w:r>
    </w:p>
    <w:p>
      <w:pPr>
        <w:pStyle w:val="17"/>
        <w:overflowPunct w:val="0"/>
        <w:topLinePunct/>
        <w:ind w:firstLine="840" w:firstLineChars="350"/>
        <w:rPr>
          <w:rFonts w:ascii="宋体" w:hAnsi="宋体" w:cs="宋体"/>
          <w:sz w:val="24"/>
        </w:rPr>
      </w:pPr>
      <w:r>
        <w:rPr>
          <w:rFonts w:hint="eastAsia" w:ascii="宋体" w:hAnsi="宋体" w:cs="宋体"/>
          <w:sz w:val="24"/>
        </w:rPr>
        <w:t>地    址： 四川省成都市武阳大道三段201号</w:t>
      </w:r>
    </w:p>
    <w:p>
      <w:pPr>
        <w:pStyle w:val="2"/>
        <w:overflowPunct w:val="0"/>
        <w:topLinePunct/>
        <w:rPr>
          <w:rFonts w:ascii="宋体" w:hAnsi="宋体" w:eastAsia="宋体" w:cs="宋体"/>
        </w:rPr>
      </w:pPr>
      <w:bookmarkStart w:id="8" w:name="_Toc193106175"/>
      <w:bookmarkStart w:id="9" w:name="_Toc193105918"/>
      <w:bookmarkStart w:id="10" w:name="_Toc193106064"/>
      <w:bookmarkStart w:id="11" w:name="_Toc21614"/>
      <w:bookmarkStart w:id="12" w:name="_Toc6266"/>
      <w:bookmarkStart w:id="13" w:name="_Toc61359375"/>
      <w:r>
        <w:rPr>
          <w:rFonts w:hint="eastAsia" w:ascii="宋体" w:hAnsi="宋体" w:eastAsia="宋体" w:cs="宋体"/>
        </w:rPr>
        <w:t>二、磋商须知</w:t>
      </w:r>
      <w:bookmarkEnd w:id="8"/>
      <w:bookmarkEnd w:id="9"/>
      <w:bookmarkEnd w:id="10"/>
      <w:bookmarkEnd w:id="11"/>
      <w:bookmarkEnd w:id="12"/>
      <w:bookmarkEnd w:id="13"/>
    </w:p>
    <w:p>
      <w:pPr>
        <w:overflowPunct w:val="0"/>
        <w:topLinePunct/>
        <w:jc w:val="center"/>
        <w:rPr>
          <w:rFonts w:ascii="宋体" w:hAnsi="宋体" w:cs="宋体"/>
          <w:sz w:val="28"/>
          <w:szCs w:val="28"/>
        </w:rPr>
      </w:pPr>
      <w:r>
        <w:rPr>
          <w:rFonts w:hint="eastAsia" w:ascii="宋体" w:hAnsi="宋体" w:cs="宋体"/>
          <w:sz w:val="28"/>
          <w:szCs w:val="28"/>
        </w:rPr>
        <w:t>（一）磋商须知前附表</w:t>
      </w:r>
    </w:p>
    <w:tbl>
      <w:tblPr>
        <w:tblStyle w:val="12"/>
        <w:tblW w:w="9501"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408"/>
        <w:gridCol w:w="60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51" w:hRule="exact"/>
          <w:tblHeader/>
          <w:jc w:val="center"/>
        </w:trPr>
        <w:tc>
          <w:tcPr>
            <w:tcW w:w="1012" w:type="dxa"/>
            <w:vAlign w:val="center"/>
          </w:tcPr>
          <w:p>
            <w:pPr>
              <w:pStyle w:val="18"/>
              <w:overflowPunct w:val="0"/>
              <w:topLinePunct/>
              <w:autoSpaceDE/>
              <w:autoSpaceDN/>
              <w:jc w:val="center"/>
              <w:rPr>
                <w:b/>
                <w:kern w:val="2"/>
                <w:szCs w:val="28"/>
              </w:rPr>
            </w:pPr>
            <w:r>
              <w:rPr>
                <w:rFonts w:hint="eastAsia"/>
                <w:b/>
                <w:kern w:val="2"/>
                <w:szCs w:val="28"/>
              </w:rPr>
              <w:t>序号</w:t>
            </w:r>
          </w:p>
        </w:tc>
        <w:tc>
          <w:tcPr>
            <w:tcW w:w="2408" w:type="dxa"/>
            <w:vAlign w:val="center"/>
          </w:tcPr>
          <w:p>
            <w:pPr>
              <w:pStyle w:val="18"/>
              <w:overflowPunct w:val="0"/>
              <w:topLinePunct/>
              <w:autoSpaceDE/>
              <w:autoSpaceDN/>
              <w:spacing w:line="280" w:lineRule="exact"/>
              <w:ind w:left="138" w:leftChars="66" w:right="142" w:rightChars="68"/>
              <w:jc w:val="center"/>
              <w:rPr>
                <w:b/>
                <w:kern w:val="2"/>
                <w:szCs w:val="28"/>
              </w:rPr>
            </w:pPr>
            <w:r>
              <w:rPr>
                <w:rFonts w:hint="eastAsia"/>
                <w:b/>
                <w:kern w:val="2"/>
                <w:szCs w:val="28"/>
              </w:rPr>
              <w:t>条款名称</w:t>
            </w:r>
          </w:p>
        </w:tc>
        <w:tc>
          <w:tcPr>
            <w:tcW w:w="6081" w:type="dxa"/>
            <w:vAlign w:val="center"/>
          </w:tcPr>
          <w:p>
            <w:pPr>
              <w:pStyle w:val="18"/>
              <w:overflowPunct w:val="0"/>
              <w:topLinePunct/>
              <w:autoSpaceDE/>
              <w:autoSpaceDN/>
              <w:ind w:left="138" w:leftChars="66" w:right="128" w:rightChars="61" w:firstLine="424" w:firstLineChars="177"/>
              <w:jc w:val="center"/>
              <w:rPr>
                <w:b/>
                <w:kern w:val="2"/>
                <w:szCs w:val="28"/>
              </w:rPr>
            </w:pPr>
            <w:r>
              <w:rPr>
                <w:rFonts w:hint="eastAsia"/>
                <w:b/>
                <w:kern w:val="2"/>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81" w:hRule="exact"/>
          <w:jc w:val="center"/>
        </w:trPr>
        <w:tc>
          <w:tcPr>
            <w:tcW w:w="1012" w:type="dxa"/>
            <w:vMerge w:val="restart"/>
            <w:vAlign w:val="center"/>
          </w:tcPr>
          <w:p>
            <w:pPr>
              <w:pStyle w:val="18"/>
              <w:overflowPunct w:val="0"/>
              <w:topLinePunct/>
              <w:autoSpaceDE/>
              <w:autoSpaceDN/>
              <w:jc w:val="center"/>
              <w:rPr>
                <w:kern w:val="2"/>
                <w:sz w:val="21"/>
                <w:szCs w:val="21"/>
              </w:rPr>
            </w:pPr>
            <w:r>
              <w:rPr>
                <w:rFonts w:hint="eastAsia"/>
                <w:kern w:val="2"/>
                <w:sz w:val="21"/>
                <w:szCs w:val="21"/>
              </w:rPr>
              <w:t>1</w:t>
            </w:r>
          </w:p>
        </w:tc>
        <w:tc>
          <w:tcPr>
            <w:tcW w:w="2408" w:type="dxa"/>
            <w:tcBorders>
              <w:bottom w:val="single" w:color="auto" w:sz="4" w:space="0"/>
            </w:tcBorders>
            <w:vAlign w:val="center"/>
          </w:tcPr>
          <w:p>
            <w:pPr>
              <w:pStyle w:val="18"/>
              <w:overflowPunct w:val="0"/>
              <w:topLinePunct/>
              <w:autoSpaceDE/>
              <w:autoSpaceDN/>
              <w:spacing w:line="280" w:lineRule="exact"/>
              <w:ind w:left="138" w:leftChars="66" w:right="142" w:rightChars="68"/>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预算</w:t>
            </w:r>
          </w:p>
        </w:tc>
        <w:tc>
          <w:tcPr>
            <w:tcW w:w="6081" w:type="dxa"/>
            <w:tcBorders>
              <w:bottom w:val="single" w:color="auto" w:sz="4" w:space="0"/>
            </w:tcBorders>
            <w:vAlign w:val="center"/>
          </w:tcPr>
          <w:p>
            <w:pPr>
              <w:pStyle w:val="18"/>
              <w:overflowPunct w:val="0"/>
              <w:topLinePunct/>
              <w:autoSpaceDE/>
              <w:autoSpaceDN/>
              <w:spacing w:line="280" w:lineRule="exact"/>
              <w:ind w:left="138" w:leftChars="66" w:right="128" w:rightChars="61" w:firstLine="371" w:firstLineChars="177"/>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20万元。</w:t>
            </w:r>
          </w:p>
          <w:p>
            <w:pPr>
              <w:pStyle w:val="18"/>
              <w:overflowPunct w:val="0"/>
              <w:topLinePunct/>
              <w:autoSpaceDE/>
              <w:autoSpaceDN/>
              <w:spacing w:line="280" w:lineRule="exact"/>
              <w:ind w:left="138" w:leftChars="66" w:right="128" w:rightChars="61" w:firstLine="371" w:firstLineChars="177"/>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超过预算金额的响应文件为无效响应。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18" w:hRule="exact"/>
          <w:jc w:val="center"/>
        </w:trPr>
        <w:tc>
          <w:tcPr>
            <w:tcW w:w="1012" w:type="dxa"/>
            <w:vMerge w:val="continue"/>
            <w:vAlign w:val="center"/>
          </w:tcPr>
          <w:p>
            <w:pPr>
              <w:pStyle w:val="18"/>
              <w:overflowPunct w:val="0"/>
              <w:topLinePunct/>
              <w:autoSpaceDE/>
              <w:autoSpaceDN/>
              <w:jc w:val="center"/>
              <w:rPr>
                <w:kern w:val="2"/>
                <w:sz w:val="21"/>
                <w:szCs w:val="21"/>
              </w:rPr>
            </w:pPr>
          </w:p>
        </w:tc>
        <w:tc>
          <w:tcPr>
            <w:tcW w:w="2408" w:type="dxa"/>
            <w:tcBorders>
              <w:top w:val="single" w:color="auto" w:sz="4" w:space="0"/>
            </w:tcBorders>
            <w:vAlign w:val="center"/>
          </w:tcPr>
          <w:p>
            <w:pPr>
              <w:pStyle w:val="18"/>
              <w:overflowPunct w:val="0"/>
              <w:topLinePunct/>
              <w:autoSpaceDE/>
              <w:autoSpaceDN/>
              <w:spacing w:line="280" w:lineRule="exact"/>
              <w:ind w:left="138" w:leftChars="66" w:right="142" w:rightChars="68"/>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最高限价</w:t>
            </w:r>
          </w:p>
        </w:tc>
        <w:tc>
          <w:tcPr>
            <w:tcW w:w="6081" w:type="dxa"/>
            <w:tcBorders>
              <w:top w:val="single" w:color="auto" w:sz="4" w:space="0"/>
            </w:tcBorders>
            <w:vAlign w:val="center"/>
          </w:tcPr>
          <w:p>
            <w:pPr>
              <w:pStyle w:val="18"/>
              <w:overflowPunct w:val="0"/>
              <w:topLinePunct/>
              <w:autoSpaceDE/>
              <w:autoSpaceDN/>
              <w:spacing w:line="280" w:lineRule="exact"/>
              <w:ind w:left="138" w:leftChars="66" w:right="128" w:rightChars="61" w:firstLine="371" w:firstLineChars="177"/>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20万元。</w:t>
            </w:r>
          </w:p>
          <w:p>
            <w:pPr>
              <w:pStyle w:val="18"/>
              <w:overflowPunct w:val="0"/>
              <w:topLinePunct/>
              <w:autoSpaceDE/>
              <w:autoSpaceDN/>
              <w:spacing w:line="280" w:lineRule="exact"/>
              <w:ind w:left="138" w:leftChars="66" w:right="128" w:rightChars="61" w:firstLine="371" w:firstLineChars="177"/>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超过最高限价的响应文件为无效响应。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8" w:hRule="atLeast"/>
          <w:jc w:val="center"/>
        </w:trPr>
        <w:tc>
          <w:tcPr>
            <w:tcW w:w="1012" w:type="dxa"/>
            <w:vAlign w:val="center"/>
          </w:tcPr>
          <w:p>
            <w:pPr>
              <w:pStyle w:val="18"/>
              <w:overflowPunct w:val="0"/>
              <w:topLinePunct/>
              <w:autoSpaceDE/>
              <w:autoSpaceDN/>
              <w:jc w:val="center"/>
              <w:rPr>
                <w:kern w:val="2"/>
                <w:sz w:val="21"/>
                <w:szCs w:val="21"/>
              </w:rPr>
            </w:pPr>
            <w:r>
              <w:rPr>
                <w:rFonts w:hint="eastAsia"/>
                <w:kern w:val="2"/>
                <w:sz w:val="21"/>
                <w:szCs w:val="21"/>
              </w:rPr>
              <w:t>2</w:t>
            </w:r>
          </w:p>
        </w:tc>
        <w:tc>
          <w:tcPr>
            <w:tcW w:w="2408" w:type="dxa"/>
            <w:vAlign w:val="center"/>
          </w:tcPr>
          <w:p>
            <w:pPr>
              <w:pStyle w:val="18"/>
              <w:overflowPunct w:val="0"/>
              <w:topLinePunct/>
              <w:autoSpaceDE/>
              <w:autoSpaceDN/>
              <w:spacing w:line="280" w:lineRule="exact"/>
              <w:ind w:left="138" w:leftChars="66" w:right="142" w:rightChars="68"/>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联合体</w:t>
            </w:r>
          </w:p>
        </w:tc>
        <w:tc>
          <w:tcPr>
            <w:tcW w:w="6081" w:type="dxa"/>
            <w:vAlign w:val="center"/>
          </w:tcPr>
          <w:p>
            <w:pPr>
              <w:pStyle w:val="18"/>
              <w:overflowPunct w:val="0"/>
              <w:topLinePunct/>
              <w:autoSpaceDE/>
              <w:autoSpaceDN/>
              <w:spacing w:line="280" w:lineRule="exact"/>
              <w:ind w:left="138" w:leftChars="66" w:right="128" w:rightChars="61" w:firstLine="371" w:firstLineChars="177"/>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本项目不接受联合体参加磋商。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94" w:hRule="exact"/>
          <w:jc w:val="center"/>
        </w:trPr>
        <w:tc>
          <w:tcPr>
            <w:tcW w:w="1012" w:type="dxa"/>
            <w:vAlign w:val="center"/>
          </w:tcPr>
          <w:p>
            <w:pPr>
              <w:pStyle w:val="18"/>
              <w:overflowPunct w:val="0"/>
              <w:topLinePunct/>
              <w:autoSpaceDE/>
              <w:autoSpaceDN/>
              <w:jc w:val="center"/>
              <w:rPr>
                <w:kern w:val="2"/>
                <w:sz w:val="21"/>
                <w:szCs w:val="21"/>
              </w:rPr>
            </w:pPr>
            <w:r>
              <w:rPr>
                <w:rFonts w:hint="eastAsia"/>
                <w:kern w:val="2"/>
                <w:sz w:val="21"/>
                <w:szCs w:val="21"/>
              </w:rPr>
              <w:t>3</w:t>
            </w:r>
          </w:p>
        </w:tc>
        <w:tc>
          <w:tcPr>
            <w:tcW w:w="2408" w:type="dxa"/>
            <w:vAlign w:val="center"/>
          </w:tcPr>
          <w:p>
            <w:pPr>
              <w:pStyle w:val="18"/>
              <w:overflowPunct w:val="0"/>
              <w:topLinePunct/>
              <w:autoSpaceDE/>
              <w:autoSpaceDN/>
              <w:spacing w:line="280" w:lineRule="exact"/>
              <w:ind w:left="138" w:leftChars="66" w:right="142" w:rightChars="68"/>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磋商有效期</w:t>
            </w:r>
          </w:p>
        </w:tc>
        <w:tc>
          <w:tcPr>
            <w:tcW w:w="6081" w:type="dxa"/>
            <w:vAlign w:val="center"/>
          </w:tcPr>
          <w:p>
            <w:pPr>
              <w:pStyle w:val="18"/>
              <w:overflowPunct w:val="0"/>
              <w:topLinePunct/>
              <w:autoSpaceDE/>
              <w:autoSpaceDN/>
              <w:spacing w:line="280" w:lineRule="exact"/>
              <w:ind w:left="138" w:leftChars="66" w:right="128" w:rightChars="61" w:firstLine="371" w:firstLineChars="177"/>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自响应文件递交截止时间之日起90日。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96" w:hRule="exact"/>
          <w:jc w:val="center"/>
        </w:trPr>
        <w:tc>
          <w:tcPr>
            <w:tcW w:w="1012" w:type="dxa"/>
            <w:vAlign w:val="center"/>
          </w:tcPr>
          <w:p>
            <w:pPr>
              <w:pStyle w:val="18"/>
              <w:overflowPunct w:val="0"/>
              <w:topLinePunct/>
              <w:autoSpaceDE/>
              <w:autoSpaceDN/>
              <w:jc w:val="center"/>
              <w:rPr>
                <w:kern w:val="2"/>
                <w:sz w:val="21"/>
                <w:szCs w:val="21"/>
              </w:rPr>
            </w:pPr>
            <w:r>
              <w:rPr>
                <w:rFonts w:hint="eastAsia"/>
                <w:kern w:val="2"/>
                <w:sz w:val="21"/>
                <w:szCs w:val="21"/>
              </w:rPr>
              <w:t>4</w:t>
            </w:r>
          </w:p>
        </w:tc>
        <w:tc>
          <w:tcPr>
            <w:tcW w:w="2408" w:type="dxa"/>
            <w:vAlign w:val="center"/>
          </w:tcPr>
          <w:p>
            <w:pPr>
              <w:pStyle w:val="18"/>
              <w:overflowPunct w:val="0"/>
              <w:topLinePunct/>
              <w:autoSpaceDE/>
              <w:autoSpaceDN/>
              <w:spacing w:line="280" w:lineRule="exact"/>
              <w:ind w:left="138" w:leftChars="66" w:right="142" w:rightChars="68"/>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响应文件份数</w:t>
            </w:r>
          </w:p>
        </w:tc>
        <w:tc>
          <w:tcPr>
            <w:tcW w:w="6081" w:type="dxa"/>
            <w:vAlign w:val="center"/>
          </w:tcPr>
          <w:p>
            <w:pPr>
              <w:pStyle w:val="18"/>
              <w:overflowPunct w:val="0"/>
              <w:topLinePunct/>
              <w:autoSpaceDE/>
              <w:autoSpaceDN/>
              <w:spacing w:line="280" w:lineRule="exact"/>
              <w:ind w:left="138" w:leftChars="66" w:right="128" w:rightChars="61" w:firstLine="371" w:firstLineChars="177"/>
              <w:jc w:val="both"/>
              <w:rPr>
                <w:rFonts w:asciiTheme="minorEastAsia" w:hAnsiTheme="minorEastAsia" w:eastAsiaTheme="minorEastAsia"/>
                <w:kern w:val="2"/>
                <w:sz w:val="21"/>
                <w:szCs w:val="21"/>
              </w:rPr>
            </w:pPr>
            <w:r>
              <w:rPr>
                <w:rFonts w:hint="eastAsia" w:asciiTheme="minorEastAsia" w:hAnsiTheme="minorEastAsia" w:eastAsiaTheme="minorEastAsia"/>
                <w:color w:val="000000"/>
                <w:sz w:val="21"/>
                <w:szCs w:val="21"/>
              </w:rPr>
              <w:t>响应文件分为资格性响应文件和其他响应文件，分册装订。资格性响应文件一式一份</w:t>
            </w:r>
            <w:r>
              <w:rPr>
                <w:rFonts w:hint="eastAsia" w:asciiTheme="minorEastAsia" w:hAnsiTheme="minorEastAsia" w:eastAsiaTheme="minorEastAsia"/>
                <w:sz w:val="21"/>
                <w:szCs w:val="21"/>
              </w:rPr>
              <w:t>；</w:t>
            </w:r>
            <w:r>
              <w:rPr>
                <w:rFonts w:hint="eastAsia" w:asciiTheme="minorEastAsia" w:hAnsiTheme="minorEastAsia" w:eastAsiaTheme="minorEastAsia"/>
                <w:color w:val="000000"/>
                <w:sz w:val="21"/>
                <w:szCs w:val="21"/>
              </w:rPr>
              <w:t>其他响应文件一式贰份（</w:t>
            </w:r>
            <w:r>
              <w:rPr>
                <w:rFonts w:hint="eastAsia" w:asciiTheme="minorEastAsia" w:hAnsiTheme="minorEastAsia" w:eastAsiaTheme="minorEastAsia"/>
                <w:sz w:val="21"/>
                <w:szCs w:val="21"/>
              </w:rPr>
              <w:t>其中正本1份、副本1份）。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338" w:hRule="atLeast"/>
          <w:jc w:val="center"/>
        </w:trPr>
        <w:tc>
          <w:tcPr>
            <w:tcW w:w="1012" w:type="dxa"/>
            <w:vAlign w:val="center"/>
          </w:tcPr>
          <w:p>
            <w:pPr>
              <w:pStyle w:val="18"/>
              <w:overflowPunct w:val="0"/>
              <w:topLinePunct/>
              <w:autoSpaceDE/>
              <w:autoSpaceDN/>
              <w:jc w:val="center"/>
              <w:rPr>
                <w:kern w:val="2"/>
                <w:sz w:val="21"/>
                <w:szCs w:val="21"/>
              </w:rPr>
            </w:pPr>
            <w:r>
              <w:rPr>
                <w:rFonts w:hint="eastAsia"/>
                <w:kern w:val="2"/>
                <w:sz w:val="21"/>
                <w:szCs w:val="21"/>
              </w:rPr>
              <w:t>5</w:t>
            </w:r>
          </w:p>
        </w:tc>
        <w:tc>
          <w:tcPr>
            <w:tcW w:w="2408" w:type="dxa"/>
            <w:vAlign w:val="center"/>
          </w:tcPr>
          <w:p>
            <w:pPr>
              <w:pStyle w:val="18"/>
              <w:overflowPunct w:val="0"/>
              <w:topLinePunct/>
              <w:autoSpaceDE/>
              <w:autoSpaceDN/>
              <w:spacing w:line="280" w:lineRule="exact"/>
              <w:ind w:left="138" w:leftChars="66" w:right="142" w:rightChars="68"/>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低于成本价不正当竞争预防措施</w:t>
            </w:r>
          </w:p>
        </w:tc>
        <w:tc>
          <w:tcPr>
            <w:tcW w:w="6081" w:type="dxa"/>
            <w:vAlign w:val="center"/>
          </w:tcPr>
          <w:p>
            <w:pPr>
              <w:pStyle w:val="18"/>
              <w:overflowPunct w:val="0"/>
              <w:topLinePunct/>
              <w:autoSpaceDE/>
              <w:autoSpaceDN/>
              <w:spacing w:line="280" w:lineRule="exact"/>
              <w:ind w:left="138" w:leftChars="66" w:right="128" w:rightChars="61" w:firstLine="371" w:firstLineChars="177"/>
              <w:jc w:val="both"/>
              <w:rPr>
                <w:rFonts w:asciiTheme="minorEastAsia" w:hAnsiTheme="minorEastAsia" w:eastAsiaTheme="minorEastAsia"/>
                <w:sz w:val="21"/>
                <w:szCs w:val="21"/>
              </w:rPr>
            </w:pPr>
            <w:r>
              <w:rPr>
                <w:rFonts w:hint="eastAsia" w:asciiTheme="minorEastAsia" w:hAnsiTheme="minorEastAsia" w:eastAsiaTheme="minorEastAsia"/>
                <w:sz w:val="21"/>
                <w:szCs w:val="21"/>
              </w:rPr>
              <w:t>1.磋商小组认为供应商的报价明显低于其他实质性响应供应商的报价，有可能影响产品质量或者不能诚信履约的，应当要求其在评审现场合理的时间内提供书面说明，必要时提交相关证明材料；供应商不能证明其报价合理性的，磋商小组应当将其作为无效响应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18"/>
              <w:overflowPunct w:val="0"/>
              <w:topLinePunct/>
              <w:autoSpaceDE/>
              <w:autoSpaceDN/>
              <w:spacing w:line="280" w:lineRule="exact"/>
              <w:ind w:left="138" w:leftChars="66" w:right="128" w:rightChars="61" w:firstLine="371" w:firstLineChars="177"/>
              <w:jc w:val="both"/>
              <w:rPr>
                <w:rFonts w:asciiTheme="minorEastAsia" w:hAnsiTheme="minorEastAsia" w:eastAsiaTheme="minorEastAsia"/>
                <w:sz w:val="21"/>
                <w:szCs w:val="21"/>
              </w:rPr>
            </w:pPr>
            <w:r>
              <w:rPr>
                <w:rFonts w:hint="eastAsia" w:asciiTheme="minorEastAsia" w:hAnsiTheme="minorEastAsia" w:eastAsiaTheme="minorEastAsia"/>
                <w:sz w:val="21"/>
                <w:szCs w:val="21"/>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8"/>
              <w:overflowPunct w:val="0"/>
              <w:topLinePunct/>
              <w:autoSpaceDE/>
              <w:autoSpaceDN/>
              <w:spacing w:line="280" w:lineRule="exact"/>
              <w:ind w:left="138" w:leftChars="66" w:right="128" w:rightChars="61" w:firstLine="371" w:firstLineChars="177"/>
              <w:jc w:val="both"/>
              <w:rPr>
                <w:rFonts w:asciiTheme="minorEastAsia" w:hAnsiTheme="minorEastAsia" w:eastAsiaTheme="minorEastAsia"/>
                <w:sz w:val="21"/>
                <w:szCs w:val="21"/>
              </w:rPr>
            </w:pPr>
            <w:r>
              <w:rPr>
                <w:rFonts w:hint="eastAsia" w:asciiTheme="minorEastAsia" w:hAnsiTheme="minorEastAsia" w:eastAsiaTheme="minorEastAsia"/>
                <w:sz w:val="21"/>
                <w:szCs w:val="21"/>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1" w:hRule="atLeast"/>
          <w:jc w:val="center"/>
        </w:trPr>
        <w:tc>
          <w:tcPr>
            <w:tcW w:w="1012" w:type="dxa"/>
            <w:vAlign w:val="center"/>
          </w:tcPr>
          <w:p>
            <w:pPr>
              <w:pStyle w:val="18"/>
              <w:overflowPunct w:val="0"/>
              <w:topLinePunct/>
              <w:autoSpaceDE/>
              <w:autoSpaceDN/>
              <w:jc w:val="center"/>
              <w:rPr>
                <w:kern w:val="2"/>
                <w:sz w:val="21"/>
                <w:szCs w:val="21"/>
              </w:rPr>
            </w:pPr>
            <w:r>
              <w:rPr>
                <w:rFonts w:hint="eastAsia"/>
                <w:kern w:val="2"/>
                <w:sz w:val="21"/>
                <w:szCs w:val="21"/>
              </w:rPr>
              <w:t>6</w:t>
            </w:r>
          </w:p>
        </w:tc>
        <w:tc>
          <w:tcPr>
            <w:tcW w:w="2408" w:type="dxa"/>
            <w:vAlign w:val="center"/>
          </w:tcPr>
          <w:p>
            <w:pPr>
              <w:pStyle w:val="18"/>
              <w:overflowPunct w:val="0"/>
              <w:topLinePunct/>
              <w:autoSpaceDE/>
              <w:autoSpaceDN/>
              <w:spacing w:line="280" w:lineRule="exact"/>
              <w:ind w:left="138" w:leftChars="66" w:right="142" w:rightChars="68"/>
              <w:jc w:val="both"/>
              <w:rPr>
                <w:kern w:val="2"/>
                <w:sz w:val="21"/>
                <w:szCs w:val="21"/>
              </w:rPr>
            </w:pPr>
            <w:r>
              <w:rPr>
                <w:rFonts w:hint="eastAsia" w:asciiTheme="minorEastAsia" w:hAnsiTheme="minorEastAsia" w:eastAsiaTheme="minorEastAsia"/>
                <w:sz w:val="21"/>
                <w:szCs w:val="21"/>
              </w:rPr>
              <w:t>小微企业（监狱企业视同小微企业）价格扣除、残疾人福利性单位价格扣除和失信企业报价加成（实质性要求）</w:t>
            </w:r>
          </w:p>
        </w:tc>
        <w:tc>
          <w:tcPr>
            <w:tcW w:w="6081" w:type="dxa"/>
            <w:vAlign w:val="center"/>
          </w:tcPr>
          <w:p>
            <w:pPr>
              <w:widowControl/>
              <w:overflowPunct w:val="0"/>
              <w:topLinePunct/>
              <w:spacing w:line="280" w:lineRule="exact"/>
              <w:ind w:left="138" w:leftChars="66" w:right="128" w:rightChars="61" w:firstLine="426" w:firstLineChars="203"/>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一、小微企业（监狱企业视同小微企业）价格扣除</w:t>
            </w:r>
          </w:p>
          <w:p>
            <w:pPr>
              <w:widowControl/>
              <w:overflowPunct w:val="0"/>
              <w:topLinePunct/>
              <w:spacing w:line="280" w:lineRule="exact"/>
              <w:ind w:left="138" w:leftChars="66" w:right="128" w:rightChars="61" w:firstLine="426" w:firstLineChars="203"/>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1.根据《政府采购促进中小企业发展暂行办法》（财库[2011]181号）的规定，对小型和微型企业产品的价格给予6%的价格扣除，用扣除后的价格参与评标。</w:t>
            </w:r>
          </w:p>
          <w:p>
            <w:pPr>
              <w:widowControl/>
              <w:overflowPunct w:val="0"/>
              <w:topLinePunct/>
              <w:spacing w:line="280" w:lineRule="exact"/>
              <w:ind w:left="138" w:leftChars="66" w:right="128" w:rightChars="61" w:firstLine="426" w:firstLineChars="203"/>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2.参加政府采购活动的中小企业应当提供《中小企业声明函》原件。</w:t>
            </w:r>
          </w:p>
          <w:p>
            <w:pPr>
              <w:widowControl/>
              <w:overflowPunct w:val="0"/>
              <w:topLinePunct/>
              <w:spacing w:line="280" w:lineRule="exact"/>
              <w:ind w:left="138" w:leftChars="66" w:right="128" w:rightChars="61" w:firstLine="426" w:firstLineChars="203"/>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3.监狱企业应当提供由省级以上监狱管理局、戒毒管理局（含新疆生产建设兵团）出具的属于监狱企业的证明文件。</w:t>
            </w:r>
          </w:p>
          <w:p>
            <w:pPr>
              <w:widowControl/>
              <w:overflowPunct w:val="0"/>
              <w:topLinePunct/>
              <w:spacing w:line="280" w:lineRule="exact"/>
              <w:ind w:left="138" w:leftChars="66" w:right="128" w:rightChars="61" w:firstLine="426" w:firstLineChars="203"/>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4.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6%的价格扣除。 </w:t>
            </w:r>
          </w:p>
          <w:p>
            <w:pPr>
              <w:widowControl/>
              <w:overflowPunct w:val="0"/>
              <w:topLinePunct/>
              <w:spacing w:line="280" w:lineRule="exact"/>
              <w:ind w:left="138" w:leftChars="66" w:right="128" w:rightChars="61" w:firstLine="426" w:firstLineChars="203"/>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联合体各方均为小型、微型企业的，联合体视同为小型、微型企业享受规定的扶持政策。组成联合体的大中型企业和其他自然人、法人或者其他组织，与小型、微型企业之间不得存在投资关系。 </w:t>
            </w:r>
          </w:p>
          <w:p>
            <w:pPr>
              <w:overflowPunct w:val="0"/>
              <w:topLinePunct/>
              <w:spacing w:line="280" w:lineRule="exact"/>
              <w:ind w:left="138" w:leftChars="66" w:right="128" w:rightChars="61" w:firstLine="426" w:firstLineChars="203"/>
              <w:rPr>
                <w:rFonts w:cs="宋体" w:asciiTheme="minorEastAsia" w:hAnsiTheme="minorEastAsia" w:eastAsiaTheme="minorEastAsia"/>
                <w:kern w:val="0"/>
                <w:szCs w:val="21"/>
              </w:rPr>
            </w:pPr>
            <w:r>
              <w:rPr>
                <w:rFonts w:hint="eastAsia" w:cs="宋体" w:asciiTheme="minorEastAsia" w:hAnsiTheme="minorEastAsia" w:eastAsiaTheme="minorEastAsia"/>
                <w:szCs w:val="21"/>
              </w:rPr>
              <w:t>二、</w:t>
            </w:r>
            <w:r>
              <w:rPr>
                <w:rFonts w:hint="eastAsia" w:cs="宋体" w:asciiTheme="minorEastAsia" w:hAnsiTheme="minorEastAsia" w:eastAsiaTheme="minorEastAsia"/>
                <w:kern w:val="0"/>
                <w:szCs w:val="21"/>
              </w:rPr>
              <w:t>残疾人福利性单位价格扣除</w:t>
            </w:r>
          </w:p>
          <w:p>
            <w:pPr>
              <w:widowControl/>
              <w:overflowPunct w:val="0"/>
              <w:topLinePunct/>
              <w:spacing w:line="280" w:lineRule="exact"/>
              <w:ind w:left="138" w:leftChars="66" w:right="128" w:rightChars="61" w:firstLine="426" w:firstLineChars="203"/>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1.根据《三部门</w:t>
            </w:r>
            <w:r>
              <w:fldChar w:fldCharType="begin"/>
            </w:r>
            <w:r>
              <w:instrText xml:space="preserve"> HYPERLINK "http://www.ccgp.gov.cn/zcfg/mof/201709/t20170904_8787205.htm" \o "三部门联合发布关于促进残疾人就业政府采购政策的通知" </w:instrText>
            </w:r>
            <w:r>
              <w:fldChar w:fldCharType="separate"/>
            </w:r>
            <w:r>
              <w:rPr>
                <w:rFonts w:hint="eastAsia" w:cs="宋体" w:asciiTheme="minorEastAsia" w:hAnsiTheme="minorEastAsia" w:eastAsiaTheme="minorEastAsia"/>
                <w:kern w:val="0"/>
                <w:szCs w:val="21"/>
              </w:rPr>
              <w:t>联合发布关于促进残疾人就业政府采购政策的通知</w:t>
            </w:r>
            <w:r>
              <w:rPr>
                <w:rFonts w:hint="eastAsia" w:cs="宋体" w:asciiTheme="minorEastAsia" w:hAnsiTheme="minorEastAsia" w:eastAsiaTheme="minorEastAsia"/>
                <w:kern w:val="0"/>
                <w:szCs w:val="21"/>
              </w:rPr>
              <w:fldChar w:fldCharType="end"/>
            </w:r>
            <w:r>
              <w:rPr>
                <w:rFonts w:hint="eastAsia" w:cs="宋体" w:asciiTheme="minorEastAsia" w:hAnsiTheme="minorEastAsia" w:eastAsiaTheme="minorEastAsia"/>
                <w:kern w:val="0"/>
                <w:szCs w:val="21"/>
              </w:rPr>
              <w:t>》（财库[2017]141号）的规定，对残疾人福利性单位的价格给予6%的价格扣除，用扣除后的价格参与评审。残疾人福利性单位属于小型、微型企业的，不重复享受政策。</w:t>
            </w:r>
          </w:p>
          <w:p>
            <w:pPr>
              <w:overflowPunct w:val="0"/>
              <w:topLinePunct/>
              <w:spacing w:line="280" w:lineRule="exact"/>
              <w:ind w:left="138" w:leftChars="66" w:right="128" w:rightChars="61" w:firstLine="426" w:firstLineChars="203"/>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2.符合条件的残疾人福利性单位在参加政府采购活动时，应当提供《残疾人福利性单位声明函》，并对声明的真实性负责。若为成交供应商，发布成交结果公告同时公告其《残疾人福利性单位声明函》。</w:t>
            </w:r>
          </w:p>
          <w:p>
            <w:pPr>
              <w:overflowPunct w:val="0"/>
              <w:topLinePunct/>
              <w:spacing w:line="280" w:lineRule="exact"/>
              <w:ind w:left="138" w:leftChars="66" w:right="128" w:rightChars="61" w:firstLine="426" w:firstLineChars="203"/>
              <w:rPr>
                <w:rFonts w:cs="宋体" w:asciiTheme="minorEastAsia" w:hAnsiTheme="minorEastAsia" w:eastAsiaTheme="minorEastAsia"/>
                <w:szCs w:val="21"/>
              </w:rPr>
            </w:pPr>
            <w:r>
              <w:rPr>
                <w:rFonts w:hint="eastAsia" w:cs="宋体" w:asciiTheme="minorEastAsia" w:hAnsiTheme="minorEastAsia" w:eastAsiaTheme="minorEastAsia"/>
                <w:szCs w:val="21"/>
              </w:rPr>
              <w:t>三、失信企业报价加成</w:t>
            </w:r>
          </w:p>
          <w:p>
            <w:pPr>
              <w:widowControl/>
              <w:overflowPunct w:val="0"/>
              <w:topLinePunct/>
              <w:spacing w:line="280" w:lineRule="exact"/>
              <w:ind w:left="138" w:leftChars="66" w:right="128" w:rightChars="61" w:firstLine="426" w:firstLineChars="203"/>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p>
            <w:pPr>
              <w:pStyle w:val="18"/>
              <w:overflowPunct w:val="0"/>
              <w:topLinePunct/>
              <w:autoSpaceDE/>
              <w:autoSpaceDN/>
              <w:spacing w:line="280" w:lineRule="exact"/>
              <w:ind w:left="138" w:leftChars="66" w:right="128" w:rightChars="61" w:firstLine="426" w:firstLineChars="203"/>
              <w:jc w:val="both"/>
              <w:rPr>
                <w:rFonts w:asciiTheme="minorEastAsia" w:hAnsiTheme="minorEastAsia" w:eastAsiaTheme="minorEastAsia"/>
                <w:sz w:val="21"/>
                <w:szCs w:val="21"/>
                <w:lang w:val="zh-CN"/>
              </w:rPr>
            </w:pPr>
            <w:r>
              <w:rPr>
                <w:rFonts w:hint="eastAsia" w:asciiTheme="minorEastAsia" w:hAnsiTheme="minorEastAsia" w:eastAsiaTheme="minorEastAsia"/>
                <w:sz w:val="21"/>
                <w:szCs w:val="21"/>
              </w:rPr>
              <w:t>2.被纳入法院、工商行政管理部门、税务部门、银行认定的失信名单的作为资格性审查，不适用于本条规定。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1" w:hRule="atLeast"/>
          <w:jc w:val="center"/>
        </w:trPr>
        <w:tc>
          <w:tcPr>
            <w:tcW w:w="1012" w:type="dxa"/>
            <w:vAlign w:val="center"/>
          </w:tcPr>
          <w:p>
            <w:pPr>
              <w:pStyle w:val="18"/>
              <w:overflowPunct w:val="0"/>
              <w:topLinePunct/>
              <w:autoSpaceDE/>
              <w:autoSpaceDN/>
              <w:jc w:val="center"/>
              <w:rPr>
                <w:kern w:val="2"/>
                <w:sz w:val="21"/>
                <w:szCs w:val="21"/>
              </w:rPr>
            </w:pPr>
            <w:r>
              <w:rPr>
                <w:rFonts w:hint="eastAsia"/>
                <w:kern w:val="2"/>
                <w:sz w:val="21"/>
                <w:szCs w:val="21"/>
              </w:rPr>
              <w:t>7</w:t>
            </w:r>
          </w:p>
        </w:tc>
        <w:tc>
          <w:tcPr>
            <w:tcW w:w="2408" w:type="dxa"/>
            <w:vAlign w:val="center"/>
          </w:tcPr>
          <w:p>
            <w:pPr>
              <w:pStyle w:val="18"/>
              <w:overflowPunct w:val="0"/>
              <w:autoSpaceDE/>
              <w:autoSpaceDN/>
              <w:spacing w:line="280" w:lineRule="exact"/>
              <w:ind w:left="138" w:leftChars="66" w:right="142" w:rightChars="68"/>
              <w:jc w:val="both"/>
              <w:rPr>
                <w:kern w:val="2"/>
                <w:sz w:val="21"/>
                <w:szCs w:val="21"/>
              </w:rPr>
            </w:pPr>
            <w:r>
              <w:rPr>
                <w:rFonts w:hint="eastAsia"/>
                <w:kern w:val="2"/>
                <w:sz w:val="21"/>
                <w:szCs w:val="21"/>
              </w:rPr>
              <w:t>对采购文件中资格条件，技术指标、参数，评标办法以及其他采购需求提出的询问和质疑</w:t>
            </w:r>
          </w:p>
        </w:tc>
        <w:tc>
          <w:tcPr>
            <w:tcW w:w="6081" w:type="dxa"/>
            <w:vAlign w:val="center"/>
          </w:tcPr>
          <w:p>
            <w:pPr>
              <w:overflowPunct w:val="0"/>
              <w:topLinePunct/>
              <w:spacing w:line="2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向采购人提出，并由采购人按相关规定作出答复。</w:t>
            </w:r>
          </w:p>
          <w:p>
            <w:pPr>
              <w:overflowPunct w:val="0"/>
              <w:topLinePunct/>
              <w:spacing w:line="2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提出质疑时间：下载磋商文件之日起七个工作日内。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6" w:hRule="atLeast"/>
          <w:jc w:val="center"/>
        </w:trPr>
        <w:tc>
          <w:tcPr>
            <w:tcW w:w="1012" w:type="dxa"/>
            <w:vAlign w:val="center"/>
          </w:tcPr>
          <w:p>
            <w:pPr>
              <w:pStyle w:val="18"/>
              <w:overflowPunct w:val="0"/>
              <w:topLinePunct/>
              <w:autoSpaceDE/>
              <w:autoSpaceDN/>
              <w:jc w:val="center"/>
              <w:rPr>
                <w:kern w:val="2"/>
                <w:sz w:val="21"/>
                <w:szCs w:val="21"/>
              </w:rPr>
            </w:pPr>
            <w:r>
              <w:rPr>
                <w:rFonts w:hint="eastAsia"/>
                <w:kern w:val="2"/>
                <w:sz w:val="21"/>
                <w:szCs w:val="21"/>
              </w:rPr>
              <w:t>8</w:t>
            </w:r>
          </w:p>
        </w:tc>
        <w:tc>
          <w:tcPr>
            <w:tcW w:w="2408" w:type="dxa"/>
            <w:vAlign w:val="center"/>
          </w:tcPr>
          <w:p>
            <w:pPr>
              <w:pStyle w:val="18"/>
              <w:overflowPunct w:val="0"/>
              <w:topLinePunct/>
              <w:autoSpaceDE/>
              <w:autoSpaceDN/>
              <w:spacing w:line="280" w:lineRule="exact"/>
              <w:ind w:left="138" w:leftChars="66" w:right="142" w:rightChars="68"/>
              <w:jc w:val="center"/>
              <w:rPr>
                <w:kern w:val="2"/>
                <w:sz w:val="21"/>
                <w:szCs w:val="21"/>
              </w:rPr>
            </w:pPr>
            <w:r>
              <w:rPr>
                <w:rFonts w:hint="eastAsia"/>
                <w:kern w:val="2"/>
                <w:sz w:val="21"/>
                <w:szCs w:val="21"/>
              </w:rPr>
              <w:t>合同分包</w:t>
            </w:r>
          </w:p>
        </w:tc>
        <w:tc>
          <w:tcPr>
            <w:tcW w:w="6081" w:type="dxa"/>
            <w:vAlign w:val="center"/>
          </w:tcPr>
          <w:p>
            <w:pPr>
              <w:overflowPunct w:val="0"/>
              <w:topLinePunct/>
              <w:spacing w:line="2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本项目不允许任何形式的分包及转让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1" w:hRule="atLeast"/>
          <w:jc w:val="center"/>
        </w:trPr>
        <w:tc>
          <w:tcPr>
            <w:tcW w:w="1012" w:type="dxa"/>
            <w:vAlign w:val="center"/>
          </w:tcPr>
          <w:p>
            <w:pPr>
              <w:pStyle w:val="18"/>
              <w:overflowPunct w:val="0"/>
              <w:topLinePunct/>
              <w:autoSpaceDE/>
              <w:autoSpaceDN/>
              <w:jc w:val="center"/>
              <w:rPr>
                <w:kern w:val="2"/>
                <w:sz w:val="21"/>
                <w:szCs w:val="21"/>
              </w:rPr>
            </w:pPr>
            <w:r>
              <w:rPr>
                <w:rFonts w:hint="eastAsia"/>
                <w:kern w:val="2"/>
                <w:sz w:val="21"/>
                <w:szCs w:val="21"/>
              </w:rPr>
              <w:t>9</w:t>
            </w:r>
          </w:p>
        </w:tc>
        <w:tc>
          <w:tcPr>
            <w:tcW w:w="2408" w:type="dxa"/>
            <w:vAlign w:val="center"/>
          </w:tcPr>
          <w:p>
            <w:pPr>
              <w:pStyle w:val="18"/>
              <w:overflowPunct w:val="0"/>
              <w:topLinePunct/>
              <w:autoSpaceDE/>
              <w:autoSpaceDN/>
              <w:spacing w:line="280" w:lineRule="exact"/>
              <w:ind w:left="138" w:leftChars="66" w:right="142" w:rightChars="68"/>
              <w:jc w:val="center"/>
              <w:rPr>
                <w:kern w:val="2"/>
                <w:sz w:val="21"/>
                <w:szCs w:val="21"/>
              </w:rPr>
            </w:pPr>
            <w:r>
              <w:rPr>
                <w:rFonts w:hint="eastAsia"/>
                <w:kern w:val="2"/>
                <w:sz w:val="21"/>
                <w:szCs w:val="21"/>
              </w:rPr>
              <w:t>对采购过程和采购结果的询问和质疑</w:t>
            </w:r>
          </w:p>
        </w:tc>
        <w:tc>
          <w:tcPr>
            <w:tcW w:w="6081" w:type="dxa"/>
          </w:tcPr>
          <w:p>
            <w:pPr>
              <w:overflowPunct w:val="0"/>
              <w:topLinePunct/>
              <w:spacing w:line="280" w:lineRule="exact"/>
              <w:ind w:left="138" w:leftChars="66" w:right="128" w:rightChars="61" w:firstLine="426" w:firstLineChars="203"/>
              <w:rPr>
                <w:rFonts w:cs="宋体" w:asciiTheme="minorEastAsia" w:hAnsiTheme="minorEastAsia" w:eastAsiaTheme="minorEastAsia"/>
                <w:szCs w:val="21"/>
              </w:rPr>
            </w:pPr>
            <w:r>
              <w:rPr>
                <w:rFonts w:hint="eastAsia" w:cs="宋体" w:asciiTheme="minorEastAsia" w:hAnsiTheme="minorEastAsia" w:eastAsiaTheme="minorEastAsia"/>
                <w:szCs w:val="21"/>
              </w:rPr>
              <w:t>受理单位： 四川省应急管理厅</w:t>
            </w:r>
          </w:p>
          <w:p>
            <w:pPr>
              <w:pStyle w:val="17"/>
              <w:overflowPunct w:val="0"/>
              <w:topLinePunct/>
              <w:spacing w:line="280" w:lineRule="exact"/>
              <w:ind w:left="138" w:leftChars="66" w:right="128" w:rightChars="61" w:firstLine="426" w:firstLineChars="203"/>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联 系 人： 林</w:t>
            </w:r>
            <w:r>
              <w:rPr>
                <w:rFonts w:hint="eastAsia" w:cs="宋体" w:asciiTheme="minorEastAsia" w:hAnsiTheme="minorEastAsia" w:eastAsiaTheme="minorEastAsia"/>
                <w:szCs w:val="21"/>
                <w:lang w:eastAsia="zh-CN"/>
              </w:rPr>
              <w:t>老师</w:t>
            </w:r>
          </w:p>
          <w:p>
            <w:pPr>
              <w:overflowPunct w:val="0"/>
              <w:topLinePunct/>
              <w:spacing w:line="280" w:lineRule="exact"/>
              <w:ind w:left="138" w:leftChars="66" w:right="128" w:rightChars="61" w:firstLine="426" w:firstLineChars="203"/>
              <w:rPr>
                <w:rFonts w:cs="宋体" w:asciiTheme="minorEastAsia" w:hAnsiTheme="minorEastAsia" w:eastAsiaTheme="minorEastAsia"/>
                <w:szCs w:val="21"/>
              </w:rPr>
            </w:pPr>
            <w:r>
              <w:rPr>
                <w:rFonts w:hint="eastAsia" w:cs="宋体" w:asciiTheme="minorEastAsia" w:hAnsiTheme="minorEastAsia" w:eastAsiaTheme="minorEastAsia"/>
                <w:szCs w:val="21"/>
              </w:rPr>
              <w:t>联系电话： 18381684293</w:t>
            </w:r>
          </w:p>
          <w:p>
            <w:pPr>
              <w:overflowPunct w:val="0"/>
              <w:topLinePunct/>
              <w:spacing w:line="280" w:lineRule="exact"/>
              <w:ind w:left="138" w:leftChars="66" w:right="128" w:rightChars="61" w:firstLine="426" w:firstLineChars="203"/>
              <w:rPr>
                <w:rFonts w:cs="宋体" w:asciiTheme="minorEastAsia" w:hAnsiTheme="minorEastAsia" w:eastAsiaTheme="minorEastAsia"/>
                <w:szCs w:val="21"/>
              </w:rPr>
            </w:pPr>
            <w:r>
              <w:rPr>
                <w:rFonts w:hint="eastAsia" w:cs="宋体" w:asciiTheme="minorEastAsia" w:hAnsiTheme="minorEastAsia" w:eastAsiaTheme="minorEastAsia"/>
                <w:szCs w:val="21"/>
              </w:rPr>
              <w:t>对采购过程提出质疑时间：为各采购程序环节结束之日起一个工作日内。</w:t>
            </w:r>
          </w:p>
          <w:p>
            <w:pPr>
              <w:overflowPunct w:val="0"/>
              <w:topLinePunct/>
              <w:spacing w:line="280" w:lineRule="exact"/>
              <w:ind w:left="138" w:leftChars="66" w:right="128" w:rightChars="61" w:firstLine="426" w:firstLineChars="203"/>
              <w:rPr>
                <w:rFonts w:cs="宋体" w:asciiTheme="minorEastAsia" w:hAnsiTheme="minorEastAsia" w:eastAsiaTheme="minorEastAsia"/>
                <w:szCs w:val="21"/>
              </w:rPr>
            </w:pPr>
            <w:r>
              <w:rPr>
                <w:rFonts w:hint="eastAsia" w:cs="宋体" w:asciiTheme="minorEastAsia" w:hAnsiTheme="minorEastAsia" w:eastAsiaTheme="minorEastAsia"/>
                <w:szCs w:val="21"/>
              </w:rPr>
              <w:t>对采购结果提出质疑时间：为中标结果公告发布次日起一个工作日内。</w:t>
            </w:r>
          </w:p>
        </w:tc>
      </w:tr>
    </w:tbl>
    <w:p>
      <w:pPr>
        <w:pStyle w:val="4"/>
        <w:overflowPunct w:val="0"/>
        <w:topLinePunct/>
        <w:ind w:firstLine="566"/>
        <w:jc w:val="center"/>
        <w:rPr>
          <w:rFonts w:cs="宋体"/>
          <w:sz w:val="28"/>
          <w:szCs w:val="28"/>
        </w:rPr>
      </w:pPr>
      <w:r>
        <w:rPr>
          <w:rFonts w:hint="eastAsia" w:cs="宋体"/>
          <w:sz w:val="28"/>
          <w:szCs w:val="28"/>
        </w:rPr>
        <w:t>（二）总则</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1.适用范围</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本磋商文件仅适用于本磋商邀请中所叙述的货物和服务采购。</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2.磋商双方</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（1）由采购单位组织的有关专家和用户代表参加的磋商小组。本次磋商采购单位为四川省应急管理厅。</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（2）参加磋商的供应商。</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3.有关要求</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参加磋商的供应商应仔细阅读磋商文件的所有内容，按照磋商文件的要求提供响应文件，并保证所提供的全部资料的真实性和有效性，一经发现有虚假行为的，将取消其参加磋商或成交资格，并承担相应的法律责任。</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（2）供应商对其提交的响应文件的真实性、合法性承担法律责任。</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4.报价有效期</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（1）有效期短于规定期限的报价，将被视为无效响应。</w:t>
      </w:r>
    </w:p>
    <w:p>
      <w:pPr>
        <w:keepNext w:val="0"/>
        <w:keepLines w:val="0"/>
        <w:pageBreakBefore w:val="0"/>
        <w:widowControl w:val="0"/>
        <w:kinsoku/>
        <w:wordWrap/>
        <w:overflowPunct w:val="0"/>
        <w:topLinePunct/>
        <w:autoSpaceDE/>
        <w:autoSpaceDN/>
        <w:bidi w:val="0"/>
        <w:adjustRightInd/>
        <w:snapToGrid/>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（2）在特殊情况下，采购单位于原报价有效期满之前，可向供应商提出延长报价有效期的要求。这种要求与答复均应采用书面形式。供应商可以拒绝采购单位的这一要求而放弃报价。</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5.响应文件的印制 </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（1）参加磋商的供应商应按照磋商须知的要求，准备响应文件。响应文件分为资格性响应文件和其他响应文件两部分，分册装订。资格性响应文件一式一份；其他响应文件一式</w:t>
      </w:r>
      <w:r>
        <w:rPr>
          <w:rFonts w:hint="eastAsia" w:asciiTheme="minorEastAsia" w:hAnsiTheme="minorEastAsia" w:eastAsiaTheme="minorEastAsia"/>
          <w:color w:val="000000"/>
          <w:szCs w:val="21"/>
        </w:rPr>
        <w:t>贰</w:t>
      </w:r>
      <w:r>
        <w:rPr>
          <w:rFonts w:hint="eastAsia" w:asciiTheme="minorEastAsia" w:hAnsiTheme="minorEastAsia" w:eastAsiaTheme="minorEastAsia"/>
          <w:sz w:val="24"/>
          <w:szCs w:val="24"/>
        </w:rPr>
        <w:t>份（其中正本1份、副本1份），封面上标注“正本”、“副本”字样、项目名称和供应商名称。</w:t>
      </w:r>
    </w:p>
    <w:p>
      <w:pPr>
        <w:overflowPunct w:val="0"/>
        <w:topLinePunct/>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2）响应文件正本需用不褪色、不变质的墨水书写或打印，在规定签盖章处逐一签署或盖章。响应文件副本可用正本的复印件。如有修改错漏处，必须由供应商的法定代表人或其授权代表签字并盖供应商公章。字迹潦草、表达不清、未按要求填写或可能导致非唯一理解的响应文件可能被视为无效</w:t>
      </w:r>
      <w:r>
        <w:rPr>
          <w:rFonts w:hint="eastAsia" w:asciiTheme="minorEastAsia" w:hAnsiTheme="minorEastAsia" w:eastAsiaTheme="minorEastAsia"/>
          <w:sz w:val="24"/>
          <w:szCs w:val="24"/>
          <w:lang w:eastAsia="zh-CN"/>
        </w:rPr>
        <w:t>响应文件</w:t>
      </w:r>
      <w:r>
        <w:rPr>
          <w:rFonts w:hint="eastAsia" w:asciiTheme="minorEastAsia" w:hAnsiTheme="minorEastAsia" w:eastAsiaTheme="minorEastAsia"/>
          <w:sz w:val="24"/>
          <w:szCs w:val="24"/>
        </w:rPr>
        <w:t>。</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（3）响应文件不得使用合页装订，装订应牢固，不易散落。</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（4）响应文件统一用A4纸。</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（5）响应文件中无规定格式的请自行准备。</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6.响应文件的密封及递交</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资格性响应文件和其他响应文件分别装订成册，将响应文件密封送达磋商地点。在规定的报名签到截止时间前由各参加磋商的供应商代表递交。</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在提交响应文件截止时间前，可以对所提交的响应文件进行补充、修改或者撤回，并书面通知采购人、采购单位。补充、修改的内容作为响应文件的组成部分。补充、修改的内容与响应文件不一致的，以补充、修改的内容为准。</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7.付款</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成交供应商依照磋商文件规定和响应文件承诺与采购单位签订采购合同。合同履行完毕后，采购单位办理支付手续。</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8.单位负责人为同一人或者存在直接控股、管理关系的不同供应商，不得参加同一合同项下的政府采购活动。</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9.为采购项目提供整体设计、规范编制或者项目管理、监理、检测等服务的供应商，不得再参加该采购项目的其他采购活动。</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10．两家以上的供应商不得在同一合同项下的采购项目中，同时委托同一个自然人、同一家庭的人员、同一单位的人员作为其代理人，否则，其响应文件作为无效处理。</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11.供应商拟将项目的非主体、非关键性工作交由他人完成的，应当在响应文件中载明。</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12.出现下列情形之一的，本次竞争性磋商采购活动终止：</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（1）因情况变化，不再符合规定的竞争性磋商采购方式适用情形的；</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（2）出现影响采购公正的违法、违规行为的；</w:t>
      </w:r>
    </w:p>
    <w:p>
      <w:pPr>
        <w:overflowPunct w:val="0"/>
        <w:topLinePunct/>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在采购过程中符合要求的供应商或者报价未超过采购预算的供应商不足三家的(符合财库[2015]124号文件的按通知执行)。</w:t>
      </w:r>
    </w:p>
    <w:p>
      <w:pPr>
        <w:pStyle w:val="2"/>
        <w:overflowPunct w:val="0"/>
        <w:topLinePunct/>
        <w:rPr>
          <w:rFonts w:ascii="宋体" w:hAnsi="宋体" w:eastAsia="宋体" w:cs="宋体"/>
        </w:rPr>
      </w:pPr>
      <w:bookmarkStart w:id="14" w:name="_Toc61359376"/>
      <w:bookmarkStart w:id="15" w:name="_Toc26477"/>
      <w:bookmarkStart w:id="16" w:name="_Toc25068"/>
      <w:r>
        <w:rPr>
          <w:rFonts w:hint="eastAsia" w:ascii="宋体" w:hAnsi="宋体" w:eastAsia="宋体" w:cs="宋体"/>
        </w:rPr>
        <w:t>三、确定邀请参加磋商的供应商数量和方式</w:t>
      </w:r>
      <w:bookmarkEnd w:id="14"/>
      <w:bookmarkEnd w:id="15"/>
      <w:bookmarkEnd w:id="16"/>
    </w:p>
    <w:p>
      <w:pPr>
        <w:pStyle w:val="4"/>
        <w:overflowPunct w:val="0"/>
        <w:topLinePunct/>
        <w:ind w:right="0" w:rightChars="0" w:firstLine="480" w:firstLineChars="200"/>
        <w:rPr>
          <w:rFonts w:cs="宋体"/>
        </w:rPr>
      </w:pPr>
      <w:r>
        <w:rPr>
          <w:rFonts w:hint="eastAsia" w:cs="宋体"/>
        </w:rPr>
        <w:t>邀请参加磋商的供应商数量：不少于3家。</w:t>
      </w:r>
    </w:p>
    <w:p>
      <w:pPr>
        <w:pStyle w:val="4"/>
        <w:overflowPunct w:val="0"/>
        <w:topLinePunct/>
        <w:ind w:right="0" w:rightChars="0" w:firstLine="480" w:firstLineChars="200"/>
        <w:rPr>
          <w:rFonts w:cs="宋体"/>
        </w:rPr>
      </w:pPr>
      <w:r>
        <w:rPr>
          <w:rFonts w:hint="eastAsia" w:cs="宋体"/>
        </w:rPr>
        <w:t>邀请供应商的方式：通过资格审查的所有供应商。</w:t>
      </w:r>
    </w:p>
    <w:p>
      <w:pPr>
        <w:pStyle w:val="2"/>
        <w:overflowPunct w:val="0"/>
        <w:topLinePunct/>
        <w:rPr>
          <w:rFonts w:ascii="宋体" w:hAnsi="宋体" w:eastAsia="宋体" w:cs="宋体"/>
        </w:rPr>
      </w:pPr>
      <w:bookmarkStart w:id="17" w:name="_Toc192318381"/>
      <w:bookmarkStart w:id="18" w:name="_Toc192318708"/>
      <w:bookmarkStart w:id="19" w:name="_Toc193106065"/>
      <w:bookmarkStart w:id="20" w:name="_Toc192318461"/>
      <w:bookmarkStart w:id="21" w:name="_Toc193105919"/>
      <w:bookmarkStart w:id="22" w:name="_Toc193106176"/>
      <w:bookmarkStart w:id="23" w:name="_Toc61359377"/>
      <w:bookmarkStart w:id="24" w:name="_Toc2451"/>
      <w:bookmarkStart w:id="25" w:name="_Toc3775"/>
      <w:r>
        <w:rPr>
          <w:rFonts w:hint="eastAsia" w:ascii="宋体" w:hAnsi="宋体" w:eastAsia="宋体" w:cs="宋体"/>
        </w:rPr>
        <w:t>四、</w:t>
      </w:r>
      <w:bookmarkEnd w:id="17"/>
      <w:bookmarkEnd w:id="18"/>
      <w:bookmarkEnd w:id="19"/>
      <w:bookmarkEnd w:id="20"/>
      <w:bookmarkEnd w:id="21"/>
      <w:bookmarkEnd w:id="22"/>
      <w:r>
        <w:rPr>
          <w:rFonts w:hint="eastAsia" w:ascii="宋体" w:hAnsi="宋体" w:eastAsia="宋体" w:cs="宋体"/>
        </w:rPr>
        <w:t>供应商及采购项目的资格条件要求</w:t>
      </w:r>
      <w:bookmarkEnd w:id="23"/>
      <w:bookmarkEnd w:id="24"/>
      <w:bookmarkEnd w:id="25"/>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参加磋商的供应商应具备下列条件：</w:t>
      </w:r>
    </w:p>
    <w:p>
      <w:pPr>
        <w:overflowPunct w:val="0"/>
        <w:topLinePunct/>
        <w:spacing w:line="360" w:lineRule="auto"/>
        <w:ind w:firstLine="480" w:firstLineChars="200"/>
        <w:rPr>
          <w:rFonts w:ascii="宋体" w:hAnsi="宋体" w:cs="宋体"/>
          <w:sz w:val="24"/>
        </w:rPr>
      </w:pPr>
      <w:bookmarkStart w:id="26" w:name="_Toc4818"/>
      <w:bookmarkStart w:id="27" w:name="_Toc193106178"/>
      <w:bookmarkStart w:id="28" w:name="_Toc193106067"/>
      <w:bookmarkStart w:id="29" w:name="_Toc192318463"/>
      <w:bookmarkStart w:id="30" w:name="_Toc193105921"/>
      <w:bookmarkStart w:id="31" w:name="_Toc192318383"/>
      <w:bookmarkStart w:id="32" w:name="_Toc192318710"/>
      <w:r>
        <w:rPr>
          <w:rFonts w:hint="eastAsia" w:ascii="宋体" w:hAnsi="宋体" w:cs="宋体"/>
          <w:sz w:val="24"/>
        </w:rPr>
        <w:t>《中华人民共和国政府采购法》第二十二条第一款第1项至第5项规定的条件：</w:t>
      </w:r>
    </w:p>
    <w:p>
      <w:pPr>
        <w:overflowPunct w:val="0"/>
        <w:topLinePunct/>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overflowPunct w:val="0"/>
        <w:topLinePunct/>
        <w:spacing w:line="360" w:lineRule="auto"/>
        <w:ind w:firstLine="480" w:firstLineChars="200"/>
        <w:rPr>
          <w:rFonts w:ascii="宋体" w:hAnsi="宋体" w:cs="宋体"/>
          <w:sz w:val="24"/>
        </w:rPr>
      </w:pPr>
      <w:r>
        <w:rPr>
          <w:rFonts w:hint="eastAsia" w:ascii="宋体" w:hAnsi="宋体" w:cs="宋体"/>
          <w:sz w:val="24"/>
        </w:rPr>
        <w:t>2.具有良好的商业信誉和健全的财务会计制度；</w:t>
      </w:r>
    </w:p>
    <w:p>
      <w:pPr>
        <w:overflowPunct w:val="0"/>
        <w:topLinePunct/>
        <w:spacing w:line="360" w:lineRule="auto"/>
        <w:ind w:firstLine="480" w:firstLineChars="200"/>
        <w:rPr>
          <w:rFonts w:ascii="宋体" w:hAnsi="宋体" w:cs="宋体"/>
          <w:sz w:val="24"/>
        </w:rPr>
      </w:pPr>
      <w:r>
        <w:rPr>
          <w:rFonts w:hint="eastAsia" w:ascii="宋体" w:hAnsi="宋体" w:cs="宋体"/>
          <w:sz w:val="24"/>
        </w:rPr>
        <w:t>3.具有履行合同所必须的设备和专业技术能力；</w:t>
      </w:r>
    </w:p>
    <w:p>
      <w:pPr>
        <w:overflowPunct w:val="0"/>
        <w:topLinePunct/>
        <w:spacing w:line="360" w:lineRule="auto"/>
        <w:ind w:firstLine="480" w:firstLineChars="200"/>
        <w:rPr>
          <w:rFonts w:ascii="宋体" w:hAnsi="宋体" w:cs="宋体"/>
          <w:sz w:val="24"/>
        </w:rPr>
      </w:pPr>
      <w:r>
        <w:rPr>
          <w:rFonts w:hint="eastAsia" w:ascii="宋体" w:hAnsi="宋体" w:cs="宋体"/>
          <w:sz w:val="24"/>
        </w:rPr>
        <w:t>4.具有依法缴纳税收和社会保障资金的良好记录；</w:t>
      </w:r>
    </w:p>
    <w:p>
      <w:pPr>
        <w:overflowPunct w:val="0"/>
        <w:topLinePunct/>
        <w:spacing w:line="360" w:lineRule="auto"/>
        <w:ind w:firstLine="480" w:firstLineChars="200"/>
        <w:rPr>
          <w:rFonts w:ascii="宋体" w:hAnsi="宋体" w:cs="宋体"/>
          <w:sz w:val="24"/>
        </w:rPr>
      </w:pPr>
      <w:r>
        <w:rPr>
          <w:rFonts w:hint="eastAsia" w:ascii="宋体" w:hAnsi="宋体" w:cs="宋体"/>
          <w:sz w:val="24"/>
        </w:rPr>
        <w:t>5.参加本次政府采购活动前三年内，在经营活动中没有重大违法记录。</w:t>
      </w:r>
    </w:p>
    <w:p>
      <w:pPr>
        <w:pStyle w:val="2"/>
        <w:overflowPunct w:val="0"/>
        <w:topLinePunct/>
        <w:rPr>
          <w:rFonts w:ascii="宋体" w:hAnsi="宋体" w:eastAsia="宋体" w:cs="宋体"/>
        </w:rPr>
      </w:pPr>
      <w:bookmarkStart w:id="33" w:name="_Toc9748"/>
      <w:bookmarkStart w:id="34" w:name="_Toc61359378"/>
      <w:r>
        <w:rPr>
          <w:rFonts w:hint="eastAsia" w:ascii="宋体" w:hAnsi="宋体" w:eastAsia="宋体" w:cs="宋体"/>
        </w:rPr>
        <w:t>五、供应商应当提供的资格证明材料</w:t>
      </w:r>
      <w:bookmarkEnd w:id="26"/>
      <w:bookmarkEnd w:id="33"/>
      <w:bookmarkEnd w:id="34"/>
    </w:p>
    <w:p>
      <w:pPr>
        <w:pStyle w:val="4"/>
        <w:overflowPunct w:val="0"/>
        <w:topLinePunct/>
        <w:ind w:right="0" w:rightChars="0" w:firstLine="480" w:firstLineChars="200"/>
        <w:rPr>
          <w:rFonts w:cs="宋体"/>
        </w:rPr>
      </w:pPr>
      <w:r>
        <w:rPr>
          <w:rFonts w:hint="eastAsia" w:cs="宋体"/>
        </w:rPr>
        <w:t>供应商应提供以下资格证明资料，装订成资格性响应文件：</w:t>
      </w:r>
    </w:p>
    <w:p>
      <w:pPr>
        <w:overflowPunct w:val="0"/>
        <w:topLinePunct/>
        <w:spacing w:line="360" w:lineRule="auto"/>
        <w:ind w:firstLine="480" w:firstLineChars="200"/>
        <w:rPr>
          <w:rFonts w:ascii="宋体" w:hAnsi="宋体" w:cs="宋体"/>
          <w:sz w:val="24"/>
        </w:rPr>
      </w:pPr>
      <w:r>
        <w:rPr>
          <w:rFonts w:hint="eastAsia" w:ascii="宋体" w:hAnsi="宋体" w:cs="宋体"/>
          <w:sz w:val="24"/>
        </w:rPr>
        <w:t>1.供应商是企业</w:t>
      </w:r>
      <w:r>
        <w:rPr>
          <w:rFonts w:hint="eastAsia" w:ascii="宋体" w:hAnsi="宋体" w:cs="宋体"/>
          <w:kern w:val="0"/>
          <w:sz w:val="24"/>
          <w:szCs w:val="24"/>
        </w:rPr>
        <w:t>的，提供营业执照（副本）复印件或扫描件，供</w:t>
      </w:r>
      <w:r>
        <w:rPr>
          <w:rFonts w:hint="eastAsia" w:ascii="宋体" w:hAnsi="宋体" w:cs="宋体"/>
          <w:sz w:val="24"/>
        </w:rPr>
        <w:t>应商是事业单位的，提供事业单位法人证书复印件或扫描件。（注：加盖供应商公章）</w:t>
      </w:r>
    </w:p>
    <w:p>
      <w:pPr>
        <w:overflowPunct w:val="0"/>
        <w:topLinePunct/>
        <w:spacing w:line="360" w:lineRule="auto"/>
        <w:ind w:firstLine="480" w:firstLineChars="200"/>
        <w:rPr>
          <w:rFonts w:ascii="宋体" w:hAnsi="宋体" w:cs="宋体"/>
          <w:sz w:val="24"/>
        </w:rPr>
      </w:pPr>
      <w:r>
        <w:rPr>
          <w:rFonts w:hint="eastAsia" w:ascii="宋体" w:hAnsi="宋体" w:cs="宋体"/>
          <w:sz w:val="24"/>
        </w:rPr>
        <w:t>2.法定代表人身份证双面复印件或扫描件。（法定代表人或非法定代表人参加磋商时均需提供，加盖供应商公章）</w:t>
      </w:r>
    </w:p>
    <w:p>
      <w:pPr>
        <w:overflowPunct w:val="0"/>
        <w:topLinePunct/>
        <w:spacing w:line="360" w:lineRule="auto"/>
        <w:ind w:firstLine="480" w:firstLineChars="200"/>
        <w:rPr>
          <w:rFonts w:ascii="宋体" w:hAnsi="宋体" w:cs="宋体"/>
          <w:sz w:val="24"/>
        </w:rPr>
      </w:pPr>
      <w:r>
        <w:rPr>
          <w:rFonts w:hint="eastAsia" w:ascii="宋体" w:hAnsi="宋体" w:cs="宋体"/>
          <w:sz w:val="24"/>
        </w:rPr>
        <w:t>3.法定代表人（负责人）授权书原件。（非法定代表人（负责人）参加磋商时提供），并附授权代表身份证双面复印件或扫描件。（注：加盖供应商公章）</w:t>
      </w:r>
    </w:p>
    <w:p>
      <w:pPr>
        <w:overflowPunct w:val="0"/>
        <w:topLinePunct/>
        <w:spacing w:line="360" w:lineRule="auto"/>
        <w:ind w:firstLine="480" w:firstLineChars="200"/>
        <w:rPr>
          <w:rFonts w:ascii="宋体" w:hAnsi="宋体" w:cs="宋体"/>
          <w:sz w:val="24"/>
        </w:rPr>
      </w:pPr>
      <w:r>
        <w:rPr>
          <w:rFonts w:hint="eastAsia" w:ascii="宋体" w:hAnsi="宋体" w:cs="宋体"/>
          <w:sz w:val="24"/>
        </w:rPr>
        <w:t>4.供应商2020年任意一个月的缴纳税收的银行电子回单或者税务部门出具的纳税证明或完税证明或有效票据的复印件或扫描件；或依法缴纳税收的书面承诺函原件。（注：加盖供应商公章）</w:t>
      </w:r>
    </w:p>
    <w:p>
      <w:pPr>
        <w:overflowPunct w:val="0"/>
        <w:topLinePunct/>
        <w:spacing w:line="360" w:lineRule="auto"/>
        <w:ind w:firstLine="480" w:firstLineChars="200"/>
        <w:rPr>
          <w:rFonts w:ascii="宋体" w:hAnsi="宋体" w:cs="宋体"/>
          <w:sz w:val="24"/>
        </w:rPr>
      </w:pPr>
      <w:r>
        <w:rPr>
          <w:rFonts w:hint="eastAsia" w:ascii="宋体" w:hAnsi="宋体" w:cs="宋体"/>
          <w:sz w:val="24"/>
        </w:rPr>
        <w:t>5.供应商2020年任意一个月的缴纳社保的银行电子回单或社保部门出具缴纳证明材料或有效票据的复印件或扫描件；或依法缴纳社会保障资金的书面承诺函原件。（注：加盖供应商公章）</w:t>
      </w:r>
    </w:p>
    <w:p>
      <w:pPr>
        <w:overflowPunct w:val="0"/>
        <w:topLinePunct/>
        <w:spacing w:line="360" w:lineRule="auto"/>
        <w:ind w:firstLine="480" w:firstLineChars="200"/>
        <w:rPr>
          <w:rFonts w:ascii="宋体" w:hAnsi="宋体" w:cs="宋体"/>
          <w:sz w:val="24"/>
          <w:szCs w:val="22"/>
        </w:rPr>
      </w:pPr>
      <w:r>
        <w:rPr>
          <w:rFonts w:hint="eastAsia" w:ascii="宋体" w:hAnsi="宋体" w:cs="宋体"/>
          <w:sz w:val="24"/>
        </w:rPr>
        <w:t>6.具备健全的财务会计制度的证明材料</w:t>
      </w:r>
      <w:r>
        <w:rPr>
          <w:rFonts w:hint="eastAsia" w:ascii="宋体" w:hAnsi="宋体" w:cs="宋体"/>
          <w:sz w:val="24"/>
          <w:szCs w:val="22"/>
        </w:rPr>
        <w:t>[企业提供近三年来（2017-2019）任意一年年度</w:t>
      </w:r>
      <w:r>
        <w:rPr>
          <w:rFonts w:hint="eastAsia" w:ascii="宋体" w:hAnsi="宋体" w:cs="宋体"/>
          <w:sz w:val="24"/>
          <w:szCs w:val="22"/>
          <w:lang w:eastAsia="zh-CN"/>
        </w:rPr>
        <w:t>（的）</w:t>
      </w:r>
      <w:r>
        <w:rPr>
          <w:rFonts w:hint="eastAsia" w:ascii="宋体" w:hAnsi="宋体" w:cs="宋体"/>
          <w:sz w:val="24"/>
          <w:szCs w:val="22"/>
        </w:rPr>
        <w:t>经审计</w:t>
      </w:r>
      <w:r>
        <w:rPr>
          <w:rFonts w:hint="eastAsia" w:ascii="宋体" w:hAnsi="宋体" w:cs="宋体"/>
          <w:sz w:val="24"/>
          <w:szCs w:val="22"/>
          <w:lang w:eastAsia="zh-CN"/>
        </w:rPr>
        <w:t>的</w:t>
      </w:r>
      <w:r>
        <w:rPr>
          <w:rFonts w:hint="eastAsia" w:ascii="宋体" w:hAnsi="宋体" w:cs="宋体"/>
          <w:sz w:val="24"/>
          <w:szCs w:val="22"/>
        </w:rPr>
        <w:t>财务报告（包含审计报告和审计报告中所涉及的财务报表和报表附注，不需要额外提供签署审计报告的注册会计师身份证明、主任会计师身份证明、合伙人身份证明）；也可提供2019年度供应商内部的财务报表（至少包含资产负债表）；事业单位提供银行出具</w:t>
      </w:r>
      <w:r>
        <w:rPr>
          <w:rFonts w:hint="eastAsia" w:ascii="宋体" w:hAnsi="宋体" w:cs="宋体"/>
          <w:sz w:val="24"/>
        </w:rPr>
        <w:t>的资信证明；供应商成立时间不足一年的，提供银行资信证明]</w:t>
      </w:r>
      <w:r>
        <w:rPr>
          <w:rFonts w:hint="eastAsia" w:ascii="宋体" w:hAnsi="宋体" w:cs="宋体"/>
          <w:sz w:val="24"/>
          <w:szCs w:val="22"/>
        </w:rPr>
        <w:t>；或提供具备健全的财务会计制度的承诺函。（注：原件、复印件或扫描件加盖供应商公章）</w:t>
      </w:r>
    </w:p>
    <w:p>
      <w:pPr>
        <w:overflowPunct w:val="0"/>
        <w:topLinePunct/>
        <w:spacing w:line="360" w:lineRule="auto"/>
        <w:ind w:firstLine="480" w:firstLineChars="200"/>
        <w:rPr>
          <w:rFonts w:ascii="宋体" w:hAnsi="宋体" w:cs="宋体"/>
          <w:sz w:val="24"/>
        </w:rPr>
      </w:pPr>
      <w:r>
        <w:rPr>
          <w:rFonts w:hint="eastAsia" w:ascii="宋体" w:hAnsi="宋体" w:cs="宋体"/>
          <w:sz w:val="24"/>
          <w:szCs w:val="22"/>
        </w:rPr>
        <w:t>7.满足《政府采购法》第二十二条规定的条件的承诺函原件(见第八章格式，加</w:t>
      </w:r>
      <w:r>
        <w:rPr>
          <w:rFonts w:hint="eastAsia" w:ascii="宋体" w:hAnsi="宋体" w:cs="宋体"/>
          <w:sz w:val="24"/>
        </w:rPr>
        <w:t>盖供应商公章)。</w:t>
      </w:r>
    </w:p>
    <w:p>
      <w:pPr>
        <w:overflowPunct w:val="0"/>
        <w:topLinePunct/>
        <w:spacing w:line="360" w:lineRule="auto"/>
        <w:ind w:firstLine="480" w:firstLineChars="200"/>
        <w:rPr>
          <w:rFonts w:ascii="宋体" w:hAnsi="宋体" w:cs="宋体"/>
          <w:sz w:val="24"/>
          <w:szCs w:val="22"/>
        </w:rPr>
      </w:pPr>
      <w:r>
        <w:rPr>
          <w:rFonts w:hint="eastAsia" w:ascii="宋体" w:hAnsi="宋体" w:cs="宋体"/>
          <w:sz w:val="24"/>
          <w:szCs w:val="22"/>
        </w:rPr>
        <w:t>8.投标人及法定代表人在参加本次政府采购活动前三年内不具有行贿犯罪记录承诺函。</w:t>
      </w:r>
    </w:p>
    <w:p>
      <w:pPr>
        <w:pStyle w:val="4"/>
        <w:overflowPunct w:val="0"/>
        <w:topLinePunct/>
        <w:ind w:right="0" w:rightChars="0" w:firstLine="480" w:firstLineChars="200"/>
        <w:rPr>
          <w:rFonts w:cs="宋体"/>
        </w:rPr>
      </w:pPr>
      <w:r>
        <w:rPr>
          <w:rFonts w:hint="eastAsia" w:cs="宋体"/>
        </w:rPr>
        <w:t>以上资料各提供一份并加盖单位鲜章，必须装订成册。封面上注明“资格性响应文件”、供应商名称、拟参加磋商报价的项目名称。</w:t>
      </w:r>
    </w:p>
    <w:p>
      <w:pPr>
        <w:pStyle w:val="2"/>
        <w:overflowPunct w:val="0"/>
        <w:topLinePunct/>
        <w:rPr>
          <w:rFonts w:ascii="宋体" w:hAnsi="宋体" w:eastAsia="宋体" w:cs="宋体"/>
        </w:rPr>
      </w:pPr>
      <w:bookmarkStart w:id="35" w:name="_Toc28062"/>
      <w:bookmarkStart w:id="36" w:name="_Toc4593"/>
      <w:bookmarkStart w:id="37" w:name="_Toc61359379"/>
      <w:r>
        <w:rPr>
          <w:rFonts w:hint="eastAsia" w:ascii="宋体" w:hAnsi="宋体" w:eastAsia="宋体" w:cs="宋体"/>
        </w:rPr>
        <w:t>六、政府采购政策要求</w:t>
      </w:r>
      <w:bookmarkEnd w:id="27"/>
      <w:bookmarkEnd w:id="28"/>
      <w:bookmarkEnd w:id="29"/>
      <w:bookmarkEnd w:id="30"/>
      <w:bookmarkEnd w:id="31"/>
      <w:bookmarkEnd w:id="32"/>
      <w:bookmarkEnd w:id="35"/>
      <w:bookmarkEnd w:id="36"/>
      <w:bookmarkEnd w:id="37"/>
    </w:p>
    <w:p>
      <w:pPr>
        <w:pStyle w:val="4"/>
        <w:overflowPunct w:val="0"/>
        <w:topLinePunct/>
        <w:ind w:firstLine="480" w:firstLineChars="200"/>
        <w:rPr>
          <w:rFonts w:cs="宋体"/>
        </w:rPr>
      </w:pPr>
      <w:r>
        <w:rPr>
          <w:rFonts w:hint="eastAsia" w:cs="宋体"/>
        </w:rPr>
        <w:t>1.根据《政府采购促进中小企业发展暂行办法》（财库[2011]181号）的规定，对小型和微型企业产品的价格给予6%的价格扣除，用扣除后的价格参与评审。</w:t>
      </w:r>
    </w:p>
    <w:p>
      <w:pPr>
        <w:pStyle w:val="4"/>
        <w:overflowPunct w:val="0"/>
        <w:topLinePunct/>
        <w:ind w:firstLine="480" w:firstLineChars="200"/>
        <w:rPr>
          <w:rFonts w:cs="宋体"/>
        </w:rPr>
      </w:pPr>
      <w:r>
        <w:rPr>
          <w:rFonts w:hint="eastAsia" w:cs="宋体"/>
        </w:rPr>
        <w:t>2.参加政府采购活动的中小企业应当提供《中小企业声明函》原件。</w:t>
      </w:r>
    </w:p>
    <w:p>
      <w:pPr>
        <w:pStyle w:val="4"/>
        <w:overflowPunct w:val="0"/>
        <w:topLinePunct/>
        <w:ind w:firstLine="480" w:firstLineChars="200"/>
        <w:rPr>
          <w:rFonts w:cs="宋体"/>
        </w:rPr>
      </w:pPr>
      <w:r>
        <w:rPr>
          <w:rFonts w:hint="eastAsia" w:cs="宋体"/>
        </w:rPr>
        <w:t>3.监狱企业视同小微企业。</w:t>
      </w:r>
    </w:p>
    <w:p>
      <w:pPr>
        <w:pStyle w:val="4"/>
        <w:overflowPunct w:val="0"/>
        <w:topLinePunct/>
        <w:ind w:firstLine="480" w:firstLineChars="200"/>
        <w:rPr>
          <w:rFonts w:cs="宋体"/>
        </w:rPr>
      </w:pPr>
      <w:r>
        <w:rPr>
          <w:rFonts w:hint="eastAsia" w:cs="宋体"/>
        </w:rPr>
        <w:t>4.根据《三部门</w:t>
      </w:r>
      <w:r>
        <w:fldChar w:fldCharType="begin"/>
      </w:r>
      <w:r>
        <w:instrText xml:space="preserve"> HYPERLINK "http://www.ccgp.gov.cn/zcfg/mof/201709/t20170904_8787205.htm" \o "三部门联合发布关于促进残疾人就业政府采购政策的通知" </w:instrText>
      </w:r>
      <w:r>
        <w:fldChar w:fldCharType="separate"/>
      </w:r>
      <w:r>
        <w:rPr>
          <w:rFonts w:hint="eastAsia" w:cs="宋体"/>
        </w:rPr>
        <w:t>联合发布关于促进残疾人就业政府采购政策的通知</w:t>
      </w:r>
      <w:r>
        <w:rPr>
          <w:rFonts w:hint="eastAsia" w:cs="宋体"/>
        </w:rPr>
        <w:fldChar w:fldCharType="end"/>
      </w:r>
      <w:r>
        <w:rPr>
          <w:rFonts w:hint="eastAsia" w:cs="宋体"/>
        </w:rPr>
        <w:t>》（财库[2017]141号）的规定，对残疾人福利性单位的价格给予6%的价格扣除，用扣除后的价格参与评审。残疾人福利性单位属于小型、微型企业的，不重复享受政策。</w:t>
      </w:r>
    </w:p>
    <w:p>
      <w:pPr>
        <w:pStyle w:val="2"/>
        <w:overflowPunct w:val="0"/>
        <w:topLinePunct/>
        <w:rPr>
          <w:rFonts w:asciiTheme="minorEastAsia" w:hAnsiTheme="minorEastAsia" w:eastAsiaTheme="minorEastAsia"/>
        </w:rPr>
      </w:pPr>
      <w:bookmarkStart w:id="38" w:name="_Toc19967"/>
      <w:bookmarkStart w:id="39" w:name="_Toc26806599"/>
      <w:bookmarkStart w:id="40" w:name="_Toc61359380"/>
      <w:bookmarkStart w:id="41" w:name="_Toc23703"/>
      <w:bookmarkStart w:id="42" w:name="_Toc31123"/>
      <w:bookmarkStart w:id="43" w:name="_Toc192318711"/>
      <w:bookmarkStart w:id="44" w:name="_Toc193106179"/>
      <w:bookmarkStart w:id="45" w:name="_Toc192318384"/>
      <w:bookmarkStart w:id="46" w:name="_Toc193106068"/>
      <w:bookmarkStart w:id="47" w:name="_Toc192318464"/>
      <w:bookmarkStart w:id="48" w:name="_Toc193105922"/>
      <w:r>
        <w:rPr>
          <w:rFonts w:asciiTheme="minorEastAsia" w:hAnsiTheme="minorEastAsia" w:eastAsiaTheme="minorEastAsia"/>
        </w:rPr>
        <w:t>七、体现满足采购需求、质量和服务的采购项目实质性要求</w:t>
      </w:r>
      <w:bookmarkEnd w:id="38"/>
      <w:bookmarkEnd w:id="39"/>
      <w:bookmarkEnd w:id="40"/>
    </w:p>
    <w:p>
      <w:pPr>
        <w:overflowPunct w:val="0"/>
        <w:topLinePunct/>
        <w:spacing w:line="360" w:lineRule="auto"/>
        <w:ind w:firstLine="480" w:firstLineChars="200"/>
        <w:rPr>
          <w:rFonts w:ascii="宋体" w:hAnsi="宋体" w:cs="宋体"/>
          <w:sz w:val="24"/>
          <w:szCs w:val="24"/>
        </w:rPr>
      </w:pPr>
      <w:bookmarkStart w:id="49" w:name="_Toc26806600"/>
      <w:r>
        <w:rPr>
          <w:rFonts w:hint="eastAsia" w:ascii="宋体" w:hAnsi="宋体" w:cs="宋体"/>
          <w:sz w:val="24"/>
          <w:szCs w:val="24"/>
        </w:rPr>
        <w:t>1.项目基本要求</w:t>
      </w:r>
      <w:bookmarkEnd w:id="49"/>
    </w:p>
    <w:p>
      <w:pPr>
        <w:overflowPunct w:val="0"/>
        <w:topLinePunct/>
        <w:spacing w:line="360" w:lineRule="auto"/>
        <w:ind w:firstLine="480" w:firstLineChars="200"/>
        <w:rPr>
          <w:rFonts w:ascii="宋体" w:hAnsi="宋体" w:cs="宋体"/>
          <w:sz w:val="24"/>
          <w:szCs w:val="22"/>
        </w:rPr>
      </w:pPr>
      <w:r>
        <w:rPr>
          <w:rFonts w:ascii="宋体" w:hAnsi="宋体" w:cs="宋体"/>
          <w:sz w:val="24"/>
          <w:szCs w:val="24"/>
        </w:rPr>
        <w:t>为确保宣传对象涵盖政府企事业单位、社区街道乡镇、普通公众，最大化实现覆盖范围广、宣传形式多、宣传力度大的效果，结合四川实际，制作包含多个视频的宣传片集。宣传片集涵盖一部综述公益宣传片、</w:t>
      </w:r>
      <w:r>
        <w:rPr>
          <w:rFonts w:ascii="宋体" w:hAnsi="宋体" w:cs="宋体"/>
          <w:sz w:val="24"/>
          <w:szCs w:val="22"/>
        </w:rPr>
        <w:t>三部新媒体宣传片</w:t>
      </w:r>
      <w:r>
        <w:rPr>
          <w:rFonts w:hint="eastAsia" w:ascii="宋体" w:hAnsi="宋体" w:cs="宋体"/>
          <w:sz w:val="24"/>
          <w:szCs w:val="22"/>
        </w:rPr>
        <w:t>。</w:t>
      </w:r>
    </w:p>
    <w:p>
      <w:pPr>
        <w:overflowPunct w:val="0"/>
        <w:topLinePunct/>
        <w:spacing w:line="360" w:lineRule="auto"/>
        <w:ind w:firstLine="540" w:firstLineChars="225"/>
        <w:rPr>
          <w:rFonts w:ascii="宋体" w:hAnsi="宋体" w:cs="宋体"/>
          <w:sz w:val="24"/>
          <w:szCs w:val="22"/>
        </w:rPr>
      </w:pPr>
      <w:r>
        <w:rPr>
          <w:rFonts w:hint="eastAsia" w:ascii="宋体" w:hAnsi="宋体" w:cs="宋体"/>
          <w:sz w:val="24"/>
          <w:szCs w:val="22"/>
        </w:rPr>
        <w:t>（1）综述公益宣传片一部</w:t>
      </w:r>
    </w:p>
    <w:p>
      <w:pPr>
        <w:overflowPunct w:val="0"/>
        <w:topLinePunct/>
        <w:spacing w:line="360" w:lineRule="auto"/>
        <w:ind w:firstLine="540" w:firstLineChars="225"/>
        <w:rPr>
          <w:rFonts w:ascii="宋体" w:hAnsi="宋体" w:cs="宋体"/>
          <w:sz w:val="24"/>
          <w:szCs w:val="22"/>
        </w:rPr>
      </w:pPr>
      <w:r>
        <w:rPr>
          <w:rFonts w:hint="eastAsia" w:ascii="宋体" w:hAnsi="宋体" w:cs="宋体"/>
          <w:sz w:val="24"/>
          <w:szCs w:val="22"/>
        </w:rPr>
        <w:t>具体要求：采用4K分辨率制作专题片，约4分钟，</w:t>
      </w:r>
      <w:r>
        <w:rPr>
          <w:rFonts w:ascii="宋体" w:hAnsi="宋体" w:cs="宋体"/>
          <w:sz w:val="24"/>
          <w:szCs w:val="22"/>
        </w:rPr>
        <w:t>主要面向对象为各级政府企事业单位</w:t>
      </w:r>
      <w:r>
        <w:rPr>
          <w:rFonts w:hint="eastAsia" w:ascii="宋体" w:hAnsi="宋体" w:cs="宋体"/>
          <w:sz w:val="24"/>
          <w:szCs w:val="22"/>
        </w:rPr>
        <w:t>，相关行业部门。</w:t>
      </w:r>
      <w:r>
        <w:rPr>
          <w:rFonts w:ascii="宋体" w:hAnsi="宋体" w:cs="宋体"/>
          <w:sz w:val="24"/>
          <w:szCs w:val="22"/>
        </w:rPr>
        <w:t>以实拍场景、特效动画、数据展示等画面，配以精炼旁白，概述自然灾害基本国情省情、会议文件精神、普查工作流程等内容</w:t>
      </w:r>
      <w:r>
        <w:rPr>
          <w:rFonts w:hint="eastAsia" w:ascii="宋体" w:hAnsi="宋体" w:cs="宋体"/>
          <w:sz w:val="24"/>
          <w:szCs w:val="22"/>
        </w:rPr>
        <w:t>，</w:t>
      </w:r>
      <w:r>
        <w:rPr>
          <w:rFonts w:ascii="宋体" w:hAnsi="宋体" w:cs="宋体"/>
          <w:sz w:val="24"/>
          <w:szCs w:val="22"/>
        </w:rPr>
        <w:t>突出第一次全国自然灾害综合风险普查的目的意义</w:t>
      </w:r>
      <w:r>
        <w:rPr>
          <w:rFonts w:hint="eastAsia" w:ascii="宋体" w:hAnsi="宋体" w:cs="宋体"/>
          <w:sz w:val="24"/>
          <w:szCs w:val="22"/>
        </w:rPr>
        <w:t>、对象内容、时间安排、组织实施、经费保障等。</w:t>
      </w:r>
      <w:r>
        <w:rPr>
          <w:rFonts w:ascii="宋体" w:hAnsi="宋体" w:cs="宋体"/>
          <w:sz w:val="24"/>
          <w:szCs w:val="22"/>
        </w:rPr>
        <w:t>加强各级政府和部门对风险普查工作的重视、提高相关行业部门对</w:t>
      </w:r>
      <w:r>
        <w:rPr>
          <w:rFonts w:hint="eastAsia" w:ascii="宋体" w:hAnsi="宋体" w:cs="宋体"/>
          <w:sz w:val="24"/>
          <w:szCs w:val="22"/>
          <w:lang w:eastAsia="zh-CN"/>
        </w:rPr>
        <w:t>风险</w:t>
      </w:r>
      <w:r>
        <w:rPr>
          <w:rFonts w:ascii="宋体" w:hAnsi="宋体" w:cs="宋体"/>
          <w:sz w:val="24"/>
          <w:szCs w:val="22"/>
        </w:rPr>
        <w:t>普查工作的参与度和积极性。</w:t>
      </w:r>
      <w:r>
        <w:rPr>
          <w:rFonts w:hint="eastAsia" w:ascii="宋体" w:hAnsi="宋体" w:cs="宋体"/>
          <w:sz w:val="24"/>
          <w:szCs w:val="22"/>
        </w:rPr>
        <w:t>自行提供文案、配音、字幕等。</w:t>
      </w:r>
    </w:p>
    <w:p>
      <w:pPr>
        <w:overflowPunct w:val="0"/>
        <w:topLinePunct/>
        <w:spacing w:line="360" w:lineRule="auto"/>
        <w:ind w:firstLine="480" w:firstLineChars="200"/>
        <w:rPr>
          <w:rFonts w:ascii="宋体" w:hAnsi="宋体" w:cs="宋体"/>
          <w:sz w:val="24"/>
          <w:szCs w:val="22"/>
        </w:rPr>
      </w:pPr>
      <w:r>
        <w:rPr>
          <w:rFonts w:hint="eastAsia" w:ascii="宋体" w:hAnsi="宋体" w:cs="宋体"/>
          <w:sz w:val="24"/>
          <w:szCs w:val="22"/>
        </w:rPr>
        <w:t>（2）</w:t>
      </w:r>
      <w:r>
        <w:rPr>
          <w:rFonts w:ascii="宋体" w:hAnsi="宋体" w:cs="宋体"/>
          <w:sz w:val="24"/>
          <w:szCs w:val="22"/>
        </w:rPr>
        <w:t>新媒体公益宣传片三部</w:t>
      </w:r>
    </w:p>
    <w:p>
      <w:pPr>
        <w:overflowPunct w:val="0"/>
        <w:topLinePunct/>
        <w:spacing w:line="360" w:lineRule="auto"/>
        <w:ind w:firstLine="480" w:firstLineChars="200"/>
        <w:rPr>
          <w:rFonts w:ascii="宋体" w:hAnsi="宋体" w:cs="宋体"/>
          <w:sz w:val="24"/>
          <w:szCs w:val="22"/>
        </w:rPr>
      </w:pPr>
      <w:r>
        <w:rPr>
          <w:rFonts w:hint="eastAsia" w:ascii="宋体" w:hAnsi="宋体" w:cs="宋体"/>
          <w:sz w:val="24"/>
          <w:szCs w:val="22"/>
        </w:rPr>
        <w:t>具体要求：一部采用4K分辨率制作专题片，时长约2分钟，面向对象主要为社区街道乡镇，采用访谈介绍、基层调查实景拍摄、特效动画、数据展示等形式，普及风险普查基础知识、建立灾害风险意识、提升自救互救能力，能够在互联网各视频平台进行播放，广泛传播。另外两部采用1080P高清制式制作MG动画，每部约1分钟，面向对象主要是普通公众，主要介绍风险普查工作的来历、目的、意义和方式等，营造风险普查工作良好氛围。需进行形象设计，能够在各大手机APP平台、公共广告屏等载体播放。</w:t>
      </w:r>
    </w:p>
    <w:p>
      <w:pPr>
        <w:overflowPunct w:val="0"/>
        <w:topLinePunct/>
        <w:spacing w:line="360" w:lineRule="auto"/>
        <w:ind w:firstLine="480" w:firstLineChars="200"/>
        <w:rPr>
          <w:rFonts w:ascii="宋体" w:hAnsi="宋体" w:cs="宋体"/>
          <w:sz w:val="24"/>
          <w:szCs w:val="22"/>
        </w:rPr>
      </w:pPr>
      <w:r>
        <w:rPr>
          <w:rFonts w:hint="eastAsia" w:ascii="宋体" w:hAnsi="宋体" w:cs="宋体"/>
          <w:sz w:val="24"/>
          <w:szCs w:val="22"/>
        </w:rPr>
        <w:t>2.配套设备</w:t>
      </w:r>
    </w:p>
    <w:p>
      <w:pPr>
        <w:overflowPunct w:val="0"/>
        <w:topLinePunct/>
        <w:spacing w:line="360" w:lineRule="auto"/>
        <w:ind w:firstLine="480" w:firstLineChars="200"/>
        <w:rPr>
          <w:rFonts w:ascii="宋体" w:hAnsi="宋体" w:cs="宋体"/>
          <w:sz w:val="24"/>
          <w:szCs w:val="22"/>
        </w:rPr>
      </w:pPr>
      <w:r>
        <w:rPr>
          <w:rFonts w:ascii="宋体" w:hAnsi="宋体" w:cs="宋体"/>
          <w:sz w:val="24"/>
          <w:szCs w:val="22"/>
        </w:rPr>
        <w:t>采用专业摄影机进行拍摄</w:t>
      </w:r>
      <w:r>
        <w:rPr>
          <w:rFonts w:hint="eastAsia" w:ascii="宋体" w:hAnsi="宋体" w:cs="宋体"/>
          <w:sz w:val="24"/>
          <w:szCs w:val="22"/>
        </w:rPr>
        <w:t>，</w:t>
      </w:r>
      <w:r>
        <w:rPr>
          <w:rFonts w:ascii="宋体" w:hAnsi="宋体" w:cs="宋体"/>
          <w:sz w:val="24"/>
          <w:szCs w:val="22"/>
        </w:rPr>
        <w:t>根据实际需求配套无人机</w:t>
      </w:r>
      <w:r>
        <w:rPr>
          <w:rFonts w:hint="eastAsia" w:ascii="宋体" w:hAnsi="宋体" w:cs="宋体"/>
          <w:sz w:val="24"/>
          <w:szCs w:val="22"/>
        </w:rPr>
        <w:t>、</w:t>
      </w:r>
      <w:r>
        <w:rPr>
          <w:rFonts w:ascii="宋体" w:hAnsi="宋体" w:cs="宋体"/>
          <w:sz w:val="24"/>
          <w:szCs w:val="22"/>
        </w:rPr>
        <w:t>摇臂</w:t>
      </w:r>
      <w:r>
        <w:rPr>
          <w:rFonts w:hint="eastAsia" w:ascii="宋体" w:hAnsi="宋体" w:cs="宋体"/>
          <w:sz w:val="24"/>
          <w:szCs w:val="22"/>
        </w:rPr>
        <w:t>、</w:t>
      </w:r>
      <w:r>
        <w:rPr>
          <w:rFonts w:ascii="宋体" w:hAnsi="宋体" w:cs="宋体"/>
          <w:sz w:val="24"/>
          <w:szCs w:val="22"/>
        </w:rPr>
        <w:t>轨道</w:t>
      </w:r>
      <w:r>
        <w:rPr>
          <w:rFonts w:hint="eastAsia" w:ascii="宋体" w:hAnsi="宋体" w:cs="宋体"/>
          <w:sz w:val="24"/>
          <w:szCs w:val="22"/>
        </w:rPr>
        <w:t>、</w:t>
      </w:r>
      <w:r>
        <w:rPr>
          <w:rFonts w:ascii="宋体" w:hAnsi="宋体" w:cs="宋体"/>
          <w:sz w:val="24"/>
          <w:szCs w:val="22"/>
        </w:rPr>
        <w:t>灯光</w:t>
      </w:r>
      <w:r>
        <w:rPr>
          <w:rFonts w:hint="eastAsia" w:ascii="宋体" w:hAnsi="宋体" w:cs="宋体"/>
          <w:sz w:val="24"/>
          <w:szCs w:val="22"/>
        </w:rPr>
        <w:t>、收音等设备。配套专业的后期制作设备，达芬奇专业调色系统调色，保证画面色彩。</w:t>
      </w:r>
    </w:p>
    <w:p>
      <w:pPr>
        <w:overflowPunct w:val="0"/>
        <w:topLinePunct/>
        <w:spacing w:line="360" w:lineRule="auto"/>
        <w:ind w:firstLine="480" w:firstLineChars="200"/>
        <w:rPr>
          <w:rFonts w:ascii="宋体" w:hAnsi="宋体" w:cs="宋体"/>
          <w:sz w:val="24"/>
          <w:szCs w:val="22"/>
        </w:rPr>
      </w:pPr>
      <w:r>
        <w:rPr>
          <w:rFonts w:hint="eastAsia" w:ascii="宋体" w:hAnsi="宋体" w:cs="宋体"/>
          <w:sz w:val="24"/>
          <w:szCs w:val="22"/>
        </w:rPr>
        <w:t>3.保密要求</w:t>
      </w:r>
    </w:p>
    <w:p>
      <w:pPr>
        <w:overflowPunct w:val="0"/>
        <w:topLinePunct/>
        <w:spacing w:line="360" w:lineRule="auto"/>
        <w:ind w:firstLine="480" w:firstLineChars="200"/>
        <w:rPr>
          <w:rFonts w:ascii="宋体" w:hAnsi="宋体" w:cs="宋体"/>
          <w:sz w:val="24"/>
          <w:szCs w:val="22"/>
        </w:rPr>
      </w:pPr>
      <w:r>
        <w:rPr>
          <w:rFonts w:hint="eastAsia" w:ascii="宋体" w:hAnsi="宋体" w:cs="宋体"/>
          <w:sz w:val="24"/>
          <w:szCs w:val="22"/>
        </w:rPr>
        <w:t>公益宣传片制作涉及的所有文字稿件、音视频资料实行</w:t>
      </w:r>
      <w:r>
        <w:rPr>
          <w:rFonts w:hint="eastAsia" w:ascii="宋体" w:hAnsi="宋体" w:cs="宋体"/>
          <w:sz w:val="24"/>
          <w:szCs w:val="22"/>
          <w:lang w:eastAsia="zh-CN"/>
        </w:rPr>
        <w:t>专人</w:t>
      </w:r>
      <w:r>
        <w:rPr>
          <w:rFonts w:hint="eastAsia" w:ascii="宋体" w:hAnsi="宋体" w:cs="宋体"/>
          <w:sz w:val="24"/>
          <w:szCs w:val="22"/>
        </w:rPr>
        <w:t>管理。制作团队对编辑、摄制、合成等每个操作环节均需承担保密责任。</w:t>
      </w:r>
    </w:p>
    <w:p>
      <w:pPr>
        <w:overflowPunct w:val="0"/>
        <w:topLinePunct/>
        <w:spacing w:line="360" w:lineRule="auto"/>
        <w:ind w:left="2" w:firstLine="537" w:firstLineChars="224"/>
        <w:rPr>
          <w:rFonts w:ascii="宋体" w:hAnsi="宋体" w:cs="宋体"/>
          <w:sz w:val="24"/>
          <w:szCs w:val="22"/>
        </w:rPr>
      </w:pPr>
      <w:bookmarkStart w:id="50" w:name="_Toc26806601"/>
      <w:r>
        <w:rPr>
          <w:rFonts w:hint="eastAsia" w:ascii="宋体" w:hAnsi="宋体" w:cs="宋体"/>
          <w:sz w:val="24"/>
          <w:szCs w:val="22"/>
        </w:rPr>
        <w:t>4.项目期限要求</w:t>
      </w:r>
      <w:bookmarkEnd w:id="50"/>
    </w:p>
    <w:p>
      <w:pPr>
        <w:overflowPunct w:val="0"/>
        <w:topLinePunct/>
        <w:spacing w:line="360" w:lineRule="auto"/>
        <w:ind w:firstLine="540" w:firstLineChars="225"/>
        <w:rPr>
          <w:rFonts w:ascii="宋体" w:hAnsi="宋体" w:cs="宋体"/>
          <w:sz w:val="24"/>
          <w:szCs w:val="22"/>
        </w:rPr>
      </w:pPr>
      <w:r>
        <w:rPr>
          <w:rFonts w:hint="eastAsia" w:ascii="宋体" w:hAnsi="宋体" w:cs="宋体"/>
          <w:sz w:val="24"/>
          <w:szCs w:val="22"/>
        </w:rPr>
        <w:t>（1）自合同签订之日起三十日</w:t>
      </w:r>
      <w:r>
        <w:rPr>
          <w:rFonts w:hint="eastAsia" w:ascii="宋体" w:hAnsi="宋体" w:cs="宋体"/>
          <w:sz w:val="24"/>
          <w:szCs w:val="22"/>
          <w:lang w:eastAsia="zh-CN"/>
        </w:rPr>
        <w:t>内</w:t>
      </w:r>
      <w:r>
        <w:rPr>
          <w:rFonts w:hint="eastAsia" w:ascii="宋体" w:hAnsi="宋体" w:cs="宋体"/>
          <w:sz w:val="24"/>
          <w:szCs w:val="22"/>
        </w:rPr>
        <w:t>。（以实际合同为准）</w:t>
      </w:r>
    </w:p>
    <w:p>
      <w:pPr>
        <w:overflowPunct w:val="0"/>
        <w:topLinePunct/>
        <w:spacing w:line="360" w:lineRule="auto"/>
        <w:ind w:firstLine="540" w:firstLineChars="225"/>
        <w:jc w:val="left"/>
        <w:rPr>
          <w:rFonts w:ascii="宋体" w:hAnsi="宋体" w:cs="宋体"/>
          <w:sz w:val="24"/>
          <w:szCs w:val="22"/>
        </w:rPr>
      </w:pPr>
      <w:r>
        <w:rPr>
          <w:rFonts w:hint="eastAsia" w:ascii="宋体" w:hAnsi="宋体" w:cs="宋体"/>
          <w:sz w:val="24"/>
          <w:szCs w:val="22"/>
        </w:rPr>
        <w:t>（2）本项目通过竞争性磋商的方式确定服务供应商，完成</w:t>
      </w:r>
      <w:r>
        <w:rPr>
          <w:rFonts w:hint="eastAsia" w:ascii="宋体" w:hAnsi="宋体" w:cs="宋体"/>
          <w:sz w:val="24"/>
          <w:szCs w:val="24"/>
        </w:rPr>
        <w:t>自然灾害综合风险普查公益宣传视频集</w:t>
      </w:r>
      <w:r>
        <w:rPr>
          <w:rFonts w:hint="eastAsia" w:ascii="宋体" w:hAnsi="宋体" w:cs="宋体"/>
          <w:sz w:val="24"/>
          <w:szCs w:val="22"/>
        </w:rPr>
        <w:t>制作项目。</w:t>
      </w:r>
    </w:p>
    <w:p>
      <w:pPr>
        <w:overflowPunct w:val="0"/>
        <w:topLinePunct/>
        <w:spacing w:line="360" w:lineRule="auto"/>
        <w:ind w:firstLine="540" w:firstLineChars="225"/>
        <w:jc w:val="left"/>
        <w:rPr>
          <w:rFonts w:ascii="宋体" w:hAnsi="宋体" w:cs="宋体"/>
          <w:sz w:val="24"/>
          <w:szCs w:val="22"/>
        </w:rPr>
      </w:pPr>
      <w:r>
        <w:rPr>
          <w:rFonts w:hint="eastAsia" w:ascii="宋体" w:hAnsi="宋体" w:cs="宋体"/>
          <w:sz w:val="24"/>
          <w:szCs w:val="22"/>
        </w:rPr>
        <w:t>5.所有拍摄的相关资料和创作的文稿不得对外使用，版权归四川省应急管理厅所有。中标方所提供的产品无人物、标识、影像等任何版权纠纷。</w:t>
      </w:r>
    </w:p>
    <w:p>
      <w:pPr>
        <w:overflowPunct w:val="0"/>
        <w:topLinePunct/>
        <w:spacing w:line="360" w:lineRule="auto"/>
        <w:ind w:firstLine="540" w:firstLineChars="225"/>
        <w:jc w:val="left"/>
        <w:rPr>
          <w:rFonts w:ascii="宋体" w:hAnsi="宋体" w:cs="宋体"/>
          <w:sz w:val="24"/>
          <w:szCs w:val="22"/>
        </w:rPr>
      </w:pPr>
      <w:r>
        <w:rPr>
          <w:rFonts w:hint="eastAsia" w:ascii="宋体" w:hAnsi="宋体" w:cs="宋体"/>
          <w:sz w:val="24"/>
          <w:szCs w:val="22"/>
        </w:rPr>
        <w:t>6.其他服务要求</w:t>
      </w:r>
    </w:p>
    <w:p>
      <w:pPr>
        <w:overflowPunct w:val="0"/>
        <w:topLinePunct/>
        <w:spacing w:line="360" w:lineRule="auto"/>
        <w:ind w:firstLine="540" w:firstLineChars="225"/>
        <w:jc w:val="left"/>
        <w:rPr>
          <w:rFonts w:ascii="宋体" w:hAnsi="宋体" w:cs="宋体"/>
          <w:sz w:val="24"/>
          <w:szCs w:val="22"/>
        </w:rPr>
      </w:pPr>
      <w:r>
        <w:rPr>
          <w:rFonts w:hint="eastAsia" w:ascii="宋体" w:hAnsi="宋体" w:cs="宋体"/>
          <w:sz w:val="24"/>
          <w:szCs w:val="22"/>
        </w:rPr>
        <w:t>（1）供应商对</w:t>
      </w:r>
      <w:r>
        <w:rPr>
          <w:rFonts w:hint="eastAsia" w:ascii="宋体" w:hAnsi="宋体" w:cs="宋体"/>
          <w:sz w:val="24"/>
          <w:szCs w:val="22"/>
          <w:lang w:eastAsia="zh-CN"/>
        </w:rPr>
        <w:t>第一次</w:t>
      </w:r>
      <w:r>
        <w:rPr>
          <w:rFonts w:hint="eastAsia" w:ascii="宋体" w:hAnsi="宋体" w:cs="宋体"/>
          <w:sz w:val="24"/>
          <w:szCs w:val="22"/>
        </w:rPr>
        <w:t>全国自然灾害综合风险普查有一定的了解。</w:t>
      </w:r>
    </w:p>
    <w:p>
      <w:pPr>
        <w:overflowPunct w:val="0"/>
        <w:topLinePunct/>
        <w:spacing w:line="360" w:lineRule="auto"/>
        <w:ind w:firstLine="540" w:firstLineChars="225"/>
        <w:jc w:val="left"/>
        <w:rPr>
          <w:rFonts w:ascii="宋体" w:hAnsi="宋体" w:cs="宋体"/>
          <w:sz w:val="24"/>
          <w:szCs w:val="22"/>
        </w:rPr>
      </w:pPr>
      <w:r>
        <w:rPr>
          <w:rFonts w:hint="eastAsia" w:ascii="宋体" w:hAnsi="宋体" w:cs="宋体"/>
          <w:sz w:val="24"/>
          <w:szCs w:val="22"/>
        </w:rPr>
        <w:t>（2）宣传片最终成果以MOV或MP4的格式交付。</w:t>
      </w:r>
    </w:p>
    <w:p>
      <w:pPr>
        <w:overflowPunct w:val="0"/>
        <w:topLinePunct/>
        <w:spacing w:line="360" w:lineRule="auto"/>
        <w:ind w:firstLine="540" w:firstLineChars="225"/>
        <w:jc w:val="left"/>
        <w:rPr>
          <w:rFonts w:ascii="宋体" w:hAnsi="宋体" w:cs="宋体"/>
          <w:sz w:val="24"/>
          <w:szCs w:val="22"/>
        </w:rPr>
      </w:pPr>
      <w:r>
        <w:rPr>
          <w:rFonts w:hint="eastAsia" w:ascii="宋体" w:hAnsi="宋体" w:cs="宋体"/>
          <w:sz w:val="24"/>
          <w:szCs w:val="22"/>
        </w:rPr>
        <w:t>（3）整个拍摄工作期间，拍摄工作人员的安全保障由拍摄团队自行负责。</w:t>
      </w:r>
    </w:p>
    <w:p>
      <w:pPr>
        <w:overflowPunct w:val="0"/>
        <w:topLinePunct/>
        <w:spacing w:line="360" w:lineRule="auto"/>
        <w:ind w:firstLine="540" w:firstLineChars="225"/>
        <w:jc w:val="left"/>
        <w:rPr>
          <w:rFonts w:ascii="宋体" w:hAnsi="宋体" w:cs="宋体"/>
          <w:sz w:val="24"/>
          <w:szCs w:val="22"/>
        </w:rPr>
      </w:pPr>
      <w:r>
        <w:rPr>
          <w:rFonts w:hint="eastAsia" w:ascii="宋体" w:hAnsi="宋体" w:cs="宋体"/>
          <w:sz w:val="24"/>
          <w:szCs w:val="22"/>
        </w:rPr>
        <w:t>（4）拍摄工作人员，在拍摄期间遵守采购单位的响应要求，服从采购人统一管理，不得参加与拍摄任务无关的任何活动。</w:t>
      </w:r>
    </w:p>
    <w:p>
      <w:pPr>
        <w:overflowPunct w:val="0"/>
        <w:topLinePunct/>
        <w:spacing w:line="360" w:lineRule="auto"/>
        <w:ind w:firstLine="540" w:firstLineChars="225"/>
        <w:jc w:val="left"/>
        <w:rPr>
          <w:rFonts w:ascii="宋体" w:hAnsi="宋体" w:cs="宋体"/>
          <w:sz w:val="24"/>
          <w:szCs w:val="22"/>
        </w:rPr>
      </w:pPr>
      <w:r>
        <w:rPr>
          <w:rFonts w:hint="eastAsia" w:ascii="宋体" w:hAnsi="宋体" w:cs="宋体"/>
          <w:sz w:val="24"/>
          <w:szCs w:val="22"/>
        </w:rPr>
        <w:t>（5）中标人应当将宣传片制作拍摄方案和脚本交由采购人审核同意后方可</w:t>
      </w:r>
      <w:r>
        <w:rPr>
          <w:rFonts w:hint="eastAsia" w:ascii="宋体" w:hAnsi="宋体" w:cs="宋体"/>
          <w:sz w:val="24"/>
          <w:szCs w:val="22"/>
          <w:lang w:eastAsia="zh-CN"/>
        </w:rPr>
        <w:t>实施</w:t>
      </w:r>
      <w:r>
        <w:rPr>
          <w:rFonts w:hint="eastAsia" w:ascii="宋体" w:hAnsi="宋体" w:cs="宋体"/>
          <w:sz w:val="24"/>
          <w:szCs w:val="22"/>
        </w:rPr>
        <w:t>拍摄。</w:t>
      </w:r>
    </w:p>
    <w:p>
      <w:pPr>
        <w:overflowPunct w:val="0"/>
        <w:topLinePunct/>
        <w:spacing w:line="360" w:lineRule="auto"/>
        <w:ind w:firstLine="540" w:firstLineChars="225"/>
        <w:jc w:val="left"/>
        <w:rPr>
          <w:rFonts w:ascii="宋体" w:hAnsi="宋体" w:cs="宋体"/>
          <w:sz w:val="24"/>
          <w:szCs w:val="22"/>
        </w:rPr>
      </w:pPr>
      <w:r>
        <w:rPr>
          <w:rFonts w:hint="eastAsia" w:ascii="宋体" w:hAnsi="宋体" w:cs="宋体"/>
          <w:sz w:val="24"/>
          <w:szCs w:val="22"/>
        </w:rPr>
        <w:t>（6）拍摄过程中，拍摄团队应当保证现场工作人员数量满足拍摄需求，为了更好地完成拍摄，采购人觉得应当补充工作人员的，拍摄团队应当合理补充。</w:t>
      </w:r>
    </w:p>
    <w:bookmarkEnd w:id="41"/>
    <w:bookmarkEnd w:id="42"/>
    <w:p>
      <w:pPr>
        <w:pStyle w:val="2"/>
        <w:overflowPunct w:val="0"/>
        <w:topLinePunct/>
        <w:rPr>
          <w:rFonts w:ascii="宋体" w:hAnsi="宋体" w:eastAsia="宋体" w:cs="宋体"/>
        </w:rPr>
      </w:pPr>
      <w:bookmarkStart w:id="51" w:name="_Toc19557"/>
      <w:bookmarkStart w:id="52" w:name="_Toc17352"/>
      <w:bookmarkStart w:id="53" w:name="_Toc61359381"/>
      <w:r>
        <w:rPr>
          <w:rFonts w:hint="eastAsia" w:ascii="宋体" w:hAnsi="宋体" w:eastAsia="宋体" w:cs="宋体"/>
        </w:rPr>
        <w:t>八、采购项目报价要求</w:t>
      </w:r>
      <w:bookmarkEnd w:id="51"/>
      <w:bookmarkEnd w:id="52"/>
      <w:bookmarkEnd w:id="53"/>
    </w:p>
    <w:p>
      <w:pPr>
        <w:overflowPunct w:val="0"/>
        <w:topLinePunct/>
        <w:spacing w:line="360" w:lineRule="auto"/>
        <w:ind w:firstLine="480" w:firstLineChars="200"/>
        <w:rPr>
          <w:rFonts w:ascii="宋体" w:hAnsi="宋体" w:cs="宋体"/>
          <w:color w:val="000000"/>
          <w:sz w:val="24"/>
          <w:szCs w:val="24"/>
        </w:rPr>
      </w:pPr>
      <w:bookmarkStart w:id="54" w:name="_Toc1654"/>
      <w:r>
        <w:rPr>
          <w:rFonts w:hint="eastAsia" w:ascii="宋体" w:hAnsi="宋体" w:cs="宋体"/>
          <w:color w:val="000000"/>
          <w:sz w:val="24"/>
          <w:szCs w:val="24"/>
        </w:rPr>
        <w:t>供应商的报价均用人民币表示,所报价格是交货的验收价格，其总价即为履行合同的固定价格。运输、安装、调试、检验、培训、税金和保险等费用均应包含在报价中。</w:t>
      </w:r>
      <w:bookmarkEnd w:id="54"/>
    </w:p>
    <w:p>
      <w:pPr>
        <w:pStyle w:val="2"/>
        <w:overflowPunct w:val="0"/>
        <w:topLinePunct/>
        <w:rPr>
          <w:rFonts w:ascii="宋体" w:hAnsi="宋体" w:eastAsia="宋体" w:cs="宋体"/>
        </w:rPr>
      </w:pPr>
      <w:bookmarkStart w:id="55" w:name="_Toc61359382"/>
      <w:bookmarkStart w:id="56" w:name="_Toc540"/>
      <w:bookmarkStart w:id="57" w:name="_Toc21644"/>
      <w:r>
        <w:rPr>
          <w:rFonts w:hint="eastAsia" w:ascii="宋体" w:hAnsi="宋体" w:eastAsia="宋体" w:cs="宋体"/>
        </w:rPr>
        <w:t>九、</w:t>
      </w:r>
      <w:bookmarkEnd w:id="43"/>
      <w:bookmarkEnd w:id="44"/>
      <w:bookmarkEnd w:id="45"/>
      <w:bookmarkEnd w:id="46"/>
      <w:bookmarkEnd w:id="47"/>
      <w:bookmarkEnd w:id="48"/>
      <w:r>
        <w:rPr>
          <w:rFonts w:hint="eastAsia" w:ascii="宋体" w:hAnsi="宋体" w:eastAsia="宋体" w:cs="宋体"/>
        </w:rPr>
        <w:t>供应商响应文件编制要求</w:t>
      </w:r>
      <w:bookmarkEnd w:id="55"/>
      <w:bookmarkEnd w:id="56"/>
      <w:bookmarkEnd w:id="57"/>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响应文件分为资格性响应文件和其他响应文件两部分，分册装订。资格性响应文件内容见第五项“供应商应当提供的资格证明材料”，其他响应文件包括但不限于以下内容：</w:t>
      </w:r>
    </w:p>
    <w:p>
      <w:pPr>
        <w:overflowPunct w:val="0"/>
        <w:topLinePunct/>
        <w:spacing w:line="360" w:lineRule="auto"/>
        <w:ind w:left="2" w:firstLine="480" w:firstLineChars="200"/>
        <w:rPr>
          <w:rFonts w:ascii="宋体" w:hAnsi="宋体" w:cs="宋体"/>
          <w:sz w:val="24"/>
          <w:szCs w:val="24"/>
        </w:rPr>
      </w:pPr>
      <w:r>
        <w:rPr>
          <w:rFonts w:hint="eastAsia" w:ascii="宋体" w:hAnsi="宋体" w:cs="宋体"/>
          <w:sz w:val="24"/>
          <w:szCs w:val="24"/>
        </w:rPr>
        <w:t>1.供应商简介。</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2.磋商函原件及有关证明文件。</w:t>
      </w:r>
    </w:p>
    <w:p>
      <w:pPr>
        <w:overflowPunct w:val="0"/>
        <w:topLinePunct/>
        <w:spacing w:line="360" w:lineRule="auto"/>
        <w:ind w:left="1" w:firstLine="480" w:firstLineChars="200"/>
        <w:rPr>
          <w:rFonts w:ascii="宋体" w:hAnsi="宋体" w:cs="宋体"/>
          <w:sz w:val="24"/>
          <w:szCs w:val="24"/>
        </w:rPr>
      </w:pPr>
      <w:r>
        <w:rPr>
          <w:rFonts w:hint="eastAsia" w:ascii="宋体" w:hAnsi="宋体" w:cs="宋体"/>
          <w:sz w:val="24"/>
          <w:szCs w:val="24"/>
        </w:rPr>
        <w:t>3.报价表（以人民币形式报价，格式见附件）。</w:t>
      </w:r>
    </w:p>
    <w:p>
      <w:pPr>
        <w:overflowPunct w:val="0"/>
        <w:topLinePunct/>
        <w:spacing w:line="360" w:lineRule="auto"/>
        <w:ind w:left="-2" w:leftChars="-1" w:firstLine="480" w:firstLineChars="200"/>
        <w:rPr>
          <w:rFonts w:ascii="宋体" w:hAnsi="宋体" w:cs="宋体"/>
          <w:sz w:val="24"/>
          <w:szCs w:val="24"/>
        </w:rPr>
      </w:pPr>
      <w:r>
        <w:rPr>
          <w:rFonts w:hint="eastAsia" w:ascii="宋体" w:hAnsi="宋体" w:cs="宋体"/>
          <w:sz w:val="24"/>
          <w:szCs w:val="24"/>
        </w:rPr>
        <w:t>4.证明供应商提供的货物和服务是合格的，且符合磋商文件规定的证明文件，包括但不限于下列内容：</w:t>
      </w:r>
    </w:p>
    <w:p>
      <w:pPr>
        <w:overflowPunct w:val="0"/>
        <w:topLinePunct/>
        <w:spacing w:line="360" w:lineRule="auto"/>
        <w:ind w:left="-2" w:leftChars="-1" w:firstLine="480" w:firstLineChars="200"/>
        <w:rPr>
          <w:rFonts w:ascii="宋体" w:hAnsi="宋体" w:cs="宋体"/>
          <w:sz w:val="24"/>
          <w:szCs w:val="24"/>
        </w:rPr>
      </w:pPr>
      <w:r>
        <w:rPr>
          <w:rFonts w:hint="eastAsia" w:ascii="宋体" w:hAnsi="宋体" w:cs="宋体"/>
          <w:sz w:val="24"/>
          <w:szCs w:val="24"/>
        </w:rPr>
        <w:t>（1）项目实施方案。</w:t>
      </w:r>
    </w:p>
    <w:p>
      <w:pPr>
        <w:overflowPunct w:val="0"/>
        <w:topLinePunct/>
        <w:spacing w:line="360" w:lineRule="auto"/>
        <w:ind w:left="-2" w:leftChars="-1" w:firstLine="480" w:firstLineChars="200"/>
        <w:rPr>
          <w:rFonts w:ascii="宋体" w:hAnsi="宋体" w:cs="宋体"/>
          <w:sz w:val="24"/>
          <w:szCs w:val="24"/>
        </w:rPr>
      </w:pPr>
      <w:r>
        <w:rPr>
          <w:rFonts w:hint="eastAsia" w:ascii="宋体" w:hAnsi="宋体" w:cs="宋体"/>
          <w:sz w:val="24"/>
          <w:szCs w:val="24"/>
        </w:rPr>
        <w:t>（2）人员保障措施。</w:t>
      </w:r>
    </w:p>
    <w:p>
      <w:pPr>
        <w:overflowPunct w:val="0"/>
        <w:topLinePunct/>
        <w:spacing w:line="360" w:lineRule="auto"/>
        <w:ind w:left="-2" w:leftChars="-1" w:firstLine="480" w:firstLineChars="200"/>
        <w:rPr>
          <w:rFonts w:ascii="宋体" w:hAnsi="宋体" w:cs="宋体"/>
          <w:sz w:val="24"/>
          <w:szCs w:val="24"/>
        </w:rPr>
      </w:pPr>
      <w:r>
        <w:rPr>
          <w:rFonts w:hint="eastAsia" w:ascii="宋体" w:hAnsi="宋体" w:cs="宋体"/>
          <w:sz w:val="24"/>
          <w:szCs w:val="24"/>
        </w:rPr>
        <w:t>（3）按照磋商文件“附件”格式要求提供的其他价格、技术和商务响应文件。</w:t>
      </w:r>
    </w:p>
    <w:p>
      <w:pPr>
        <w:overflowPunct w:val="0"/>
        <w:topLinePunct/>
        <w:spacing w:line="360" w:lineRule="auto"/>
        <w:ind w:left="-2" w:leftChars="-1" w:firstLine="480" w:firstLineChars="200"/>
        <w:rPr>
          <w:rFonts w:ascii="宋体" w:hAnsi="宋体" w:cs="宋体"/>
          <w:sz w:val="24"/>
          <w:szCs w:val="24"/>
        </w:rPr>
      </w:pPr>
      <w:r>
        <w:rPr>
          <w:rFonts w:hint="eastAsia" w:ascii="宋体" w:hAnsi="宋体" w:cs="宋体"/>
          <w:sz w:val="24"/>
          <w:szCs w:val="24"/>
        </w:rPr>
        <w:t>5.需要的其他相关证明材料。</w:t>
      </w:r>
    </w:p>
    <w:p>
      <w:pPr>
        <w:pStyle w:val="5"/>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以上要求资料应据实提供，不得虚假响应，如磋商文件中提供了统一格式，应按格式要求准备文件。</w:t>
      </w:r>
      <w:bookmarkStart w:id="58" w:name="_Toc192318465"/>
      <w:bookmarkStart w:id="59" w:name="_Toc192318385"/>
      <w:bookmarkStart w:id="60" w:name="_Toc193106180"/>
      <w:bookmarkStart w:id="61" w:name="_Toc193106069"/>
      <w:bookmarkStart w:id="62" w:name="_Toc193105923"/>
      <w:bookmarkStart w:id="63" w:name="_Toc192318712"/>
      <w:bookmarkStart w:id="64" w:name="_Toc32459"/>
    </w:p>
    <w:p>
      <w:pPr>
        <w:pStyle w:val="2"/>
        <w:overflowPunct w:val="0"/>
        <w:topLinePunct/>
        <w:rPr>
          <w:rFonts w:ascii="宋体" w:hAnsi="宋体" w:eastAsia="宋体" w:cs="宋体"/>
        </w:rPr>
      </w:pPr>
      <w:bookmarkStart w:id="65" w:name="_Toc19508"/>
      <w:bookmarkStart w:id="66" w:name="_Toc61359383"/>
      <w:r>
        <w:rPr>
          <w:rFonts w:hint="eastAsia" w:ascii="宋体" w:hAnsi="宋体" w:eastAsia="宋体" w:cs="宋体"/>
        </w:rPr>
        <w:t>十、评审程序</w:t>
      </w:r>
      <w:bookmarkEnd w:id="58"/>
      <w:bookmarkEnd w:id="59"/>
      <w:bookmarkEnd w:id="60"/>
      <w:bookmarkEnd w:id="61"/>
      <w:bookmarkEnd w:id="62"/>
      <w:bookmarkEnd w:id="63"/>
      <w:r>
        <w:rPr>
          <w:rFonts w:hint="eastAsia" w:ascii="宋体" w:hAnsi="宋体" w:eastAsia="宋体" w:cs="宋体"/>
        </w:rPr>
        <w:t>、方法和标准</w:t>
      </w:r>
      <w:bookmarkEnd w:id="64"/>
      <w:bookmarkEnd w:id="65"/>
      <w:bookmarkEnd w:id="66"/>
    </w:p>
    <w:p>
      <w:pPr>
        <w:tabs>
          <w:tab w:val="left" w:pos="540"/>
        </w:tabs>
        <w:overflowPunct w:val="0"/>
        <w:topLinePunct/>
        <w:spacing w:line="360" w:lineRule="auto"/>
        <w:ind w:firstLine="480" w:firstLineChars="200"/>
        <w:jc w:val="left"/>
        <w:rPr>
          <w:rFonts w:ascii="宋体" w:hAnsi="宋体" w:cs="宋体"/>
          <w:b/>
          <w:sz w:val="24"/>
          <w:szCs w:val="24"/>
        </w:rPr>
      </w:pPr>
      <w:r>
        <w:rPr>
          <w:rFonts w:hint="eastAsia" w:ascii="宋体" w:hAnsi="宋体" w:cs="宋体"/>
          <w:sz w:val="24"/>
          <w:szCs w:val="24"/>
        </w:rPr>
        <w:t>竞争性磋商小组在评审过程中，应当按照《政府采购竞争性磋商采购方式管理暂行办法》（财库[2014]214号）的规定履行职责和义务，不得违法评审、违反评审工作纪律。</w:t>
      </w:r>
    </w:p>
    <w:p>
      <w:pPr>
        <w:tabs>
          <w:tab w:val="left" w:pos="540"/>
        </w:tabs>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1.竞争性磋商程序</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（1）供应商签到并递交响应文件。</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（2）磋商小组对递交响应文件的供应商进行资格审查。</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（3）当场宣布资格审查结果。</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（4）供应商现场抽签排序。</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（5）磋商小组按顺序分别与各供应商磋商。</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（6）供应商在磋商小组规定的时间，对产品或服务等情况作简要陈述。</w:t>
      </w:r>
    </w:p>
    <w:p>
      <w:pPr>
        <w:overflowPunct w:val="0"/>
        <w:topLinePunct/>
        <w:spacing w:line="360" w:lineRule="auto"/>
        <w:ind w:firstLine="480" w:firstLineChars="200"/>
        <w:rPr>
          <w:rFonts w:ascii="宋体" w:hAnsi="宋体" w:cs="宋体"/>
          <w:color w:val="FF0000"/>
          <w:sz w:val="24"/>
          <w:szCs w:val="24"/>
        </w:rPr>
      </w:pPr>
      <w:r>
        <w:rPr>
          <w:rFonts w:hint="eastAsia" w:ascii="宋体" w:hAnsi="宋体" w:cs="宋体"/>
          <w:sz w:val="24"/>
          <w:szCs w:val="24"/>
        </w:rPr>
        <w:t>（7）按照磋商文件规定的评审方法和标准对提交最后报价的供应商的响应文件和最后报价进行综合评分，然后根据综合评分情况，按照评审得分由高到低的顺序推荐成交候选供应商，出具评审报告。</w:t>
      </w:r>
    </w:p>
    <w:p>
      <w:pPr>
        <w:overflowPunct w:val="0"/>
        <w:topLinePunct/>
        <w:spacing w:line="360" w:lineRule="auto"/>
        <w:ind w:firstLine="480" w:firstLineChars="200"/>
        <w:rPr>
          <w:rFonts w:ascii="宋体" w:hAnsi="宋体" w:cs="宋体"/>
          <w:sz w:val="24"/>
          <w:szCs w:val="24"/>
        </w:rPr>
      </w:pPr>
      <w:r>
        <w:rPr>
          <w:rFonts w:hint="eastAsia" w:ascii="宋体" w:hAnsi="宋体" w:cs="宋体"/>
          <w:bCs/>
          <w:sz w:val="24"/>
          <w:szCs w:val="24"/>
        </w:rPr>
        <w:t>（8）</w:t>
      </w:r>
      <w:r>
        <w:rPr>
          <w:rFonts w:hint="eastAsia" w:ascii="宋体" w:hAnsi="宋体" w:cs="宋体"/>
          <w:sz w:val="24"/>
          <w:szCs w:val="24"/>
        </w:rPr>
        <w:t>确定成交供应商的原则为：磋商小组推荐成交候选人，采购人按照评审报告中推荐的成交候选供应商顺序确定成交供应商、授权磋商小组直接确定成交供应商。</w:t>
      </w:r>
    </w:p>
    <w:p>
      <w:pPr>
        <w:overflowPunct w:val="0"/>
        <w:topLinePunct/>
        <w:spacing w:line="360" w:lineRule="auto"/>
        <w:ind w:firstLine="480" w:firstLineChars="200"/>
        <w:rPr>
          <w:rFonts w:ascii="宋体" w:hAnsi="宋体" w:cs="宋体"/>
          <w:b/>
          <w:sz w:val="24"/>
          <w:szCs w:val="24"/>
        </w:rPr>
      </w:pPr>
      <w:r>
        <w:rPr>
          <w:rFonts w:hint="eastAsia" w:ascii="宋体" w:hAnsi="宋体" w:cs="宋体"/>
          <w:sz w:val="24"/>
          <w:szCs w:val="24"/>
        </w:rPr>
        <w:t>（9）发布成交结果公告。</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2.评审办法</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1）磋商小组成员应当按照客观、公正、审慎的原则，根据磋商文件规定的评审程序、评审方法和评审标准进行独立评审。未实质性响应磋商文件的响应文件按无效响应处理，磋商小组应当告知提交响应文件的供应商。</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2）磋商小组采用综合评分法对最后提交报价的供应商的响应文件和最后报价进行综合评分。评审时，磋商小组各成员应当独立对每个有效响应的文件进行评价、打分，然后汇总每个供应商每项评分因素的得分。</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3）磋商小组根据综合评分情况，按照评审得分由高到低顺序推荐成交候选供应商，并编写评审报告。评审得分相同的，按照最后报价由低到高的顺序推荐。评审得分且最后报价相同的，按照技术指标优劣的顺序推荐。</w:t>
      </w:r>
    </w:p>
    <w:p>
      <w:pPr>
        <w:overflowPunct w:val="0"/>
        <w:topLinePunct/>
        <w:spacing w:line="360" w:lineRule="auto"/>
        <w:ind w:firstLine="480" w:firstLineChars="200"/>
        <w:rPr>
          <w:rFonts w:hint="eastAsia" w:ascii="宋体" w:hAnsi="宋体" w:cs="宋体"/>
          <w:sz w:val="24"/>
          <w:szCs w:val="24"/>
          <w:lang w:eastAsia="zh-CN"/>
        </w:rPr>
      </w:pPr>
      <w:r>
        <w:rPr>
          <w:rFonts w:hint="eastAsia" w:ascii="宋体" w:hAnsi="宋体" w:cs="宋体"/>
          <w:sz w:val="24"/>
          <w:szCs w:val="24"/>
        </w:rPr>
        <w:t>（4）综合评分</w:t>
      </w:r>
      <w:r>
        <w:rPr>
          <w:rFonts w:hint="eastAsia" w:ascii="宋体" w:hAnsi="宋体" w:cs="宋体"/>
          <w:sz w:val="24"/>
          <w:szCs w:val="24"/>
          <w:lang w:eastAsia="zh-CN"/>
        </w:rPr>
        <w:t>明细</w:t>
      </w:r>
      <w:r>
        <w:rPr>
          <w:rFonts w:hint="eastAsia" w:ascii="宋体" w:hAnsi="宋体" w:cs="宋体"/>
          <w:sz w:val="24"/>
          <w:szCs w:val="24"/>
        </w:rPr>
        <w:t>表</w:t>
      </w:r>
      <w:r>
        <w:rPr>
          <w:rFonts w:hint="eastAsia" w:ascii="宋体" w:hAnsi="宋体" w:cs="宋体"/>
          <w:sz w:val="24"/>
          <w:szCs w:val="24"/>
          <w:lang w:eastAsia="zh-CN"/>
        </w:rPr>
        <w:t>。</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3.磋商内容及相关要求</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（1）磋商小组对所有参加磋商供应商的评定，以相同的程序和方法严格按照磋商文件的要求和条件进行。磋商过程中，磋商小组可以根据磋商情况调整轮次。</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（2）根据《政府采购促进中小企业发展暂行办法》（财库[2011]181号）的规定，对小型和微型企业产品的价格给予6%的价格扣除，用扣除后的价格参与评审。</w:t>
      </w:r>
    </w:p>
    <w:p>
      <w:pPr>
        <w:pStyle w:val="11"/>
        <w:shd w:val="clear" w:color="auto" w:fill="FFFFFF"/>
        <w:overflowPunct w:val="0"/>
        <w:topLinePunct/>
        <w:snapToGrid w:val="0"/>
        <w:spacing w:before="0" w:beforeAutospacing="0" w:after="0" w:afterAutospacing="0" w:line="360" w:lineRule="auto"/>
        <w:ind w:firstLine="480" w:firstLineChars="200"/>
        <w:jc w:val="both"/>
        <w:rPr>
          <w:rFonts w:cs="宋体"/>
          <w:kern w:val="2"/>
        </w:rPr>
      </w:pPr>
      <w:r>
        <w:rPr>
          <w:rFonts w:hint="eastAsia" w:cs="宋体"/>
          <w:kern w:val="2"/>
        </w:rPr>
        <w:t>（3）</w:t>
      </w:r>
      <w:r>
        <w:rPr>
          <w:rFonts w:hint="eastAsia" w:cs="宋体"/>
          <w:szCs w:val="21"/>
        </w:rPr>
        <w:t>有失信行为记入诚信档案且在有效期内的供应商，实行10%的报价加成，以加成后报价作为该供应商报价评审。因其失信行为进行报价加成惩戒后报价超过政府采购预算的，其响应文件按照无效处理。</w:t>
      </w:r>
    </w:p>
    <w:p>
      <w:pPr>
        <w:pStyle w:val="11"/>
        <w:shd w:val="clear" w:color="auto" w:fill="FFFFFF"/>
        <w:overflowPunct w:val="0"/>
        <w:topLinePunct/>
        <w:snapToGrid w:val="0"/>
        <w:spacing w:before="0" w:beforeAutospacing="0" w:after="0" w:afterAutospacing="0" w:line="360" w:lineRule="auto"/>
        <w:ind w:firstLine="480" w:firstLineChars="200"/>
        <w:jc w:val="both"/>
        <w:rPr>
          <w:rFonts w:cs="宋体"/>
          <w:kern w:val="2"/>
        </w:rPr>
      </w:pPr>
      <w:r>
        <w:rPr>
          <w:rFonts w:hint="eastAsia" w:cs="宋体"/>
          <w:kern w:val="2"/>
        </w:rPr>
        <w:t>（4）磋商过程中，磋商小组获得采购人同意并书面确认后，可以根据磋商文件和磋商情况实质性变动采购需求中的技术、服务要求以及合同条款。并及时以书面形式同时通知所有参加磋商的供应商。</w:t>
      </w:r>
    </w:p>
    <w:p>
      <w:pPr>
        <w:pStyle w:val="11"/>
        <w:shd w:val="clear" w:color="auto" w:fill="FFFFFF"/>
        <w:overflowPunct w:val="0"/>
        <w:topLinePunct/>
        <w:snapToGrid w:val="0"/>
        <w:spacing w:before="0" w:beforeAutospacing="0" w:after="0" w:afterAutospacing="0" w:line="360" w:lineRule="auto"/>
        <w:ind w:firstLine="480" w:firstLineChars="200"/>
        <w:jc w:val="both"/>
        <w:rPr>
          <w:rFonts w:cs="宋体"/>
        </w:rPr>
      </w:pPr>
      <w:r>
        <w:rPr>
          <w:rFonts w:hint="eastAsia" w:cs="宋体"/>
          <w:kern w:val="2"/>
        </w:rPr>
        <w:t>磋商小组变动磋商文件的，应当要求供应商就变动的部分重新提交响应文件，并给予供应商重新提交响应文件的合理时间。供应商应当按照磋商文件的变动情况和磋商小组的要求重新提交响应文件，并</w:t>
      </w:r>
      <w:r>
        <w:rPr>
          <w:rFonts w:hint="eastAsia" w:cs="宋体"/>
        </w:rPr>
        <w:t>由其法定代表人或者代理人签字或者加盖公章。供应商为其他组织的，应当由其主要负责人或者代理人签字确认，供应商为自然人的，应当由其本人或者代理人签字确认。（要求供应商重新提交的响应文件，不必按照首次提交的响应文件内容格式提交，只需供应商就变动的内容提交响应的响应文件）</w:t>
      </w:r>
    </w:p>
    <w:p>
      <w:pPr>
        <w:pStyle w:val="11"/>
        <w:widowControl w:val="0"/>
        <w:shd w:val="clear" w:color="auto" w:fill="FFFFFF"/>
        <w:overflowPunct w:val="0"/>
        <w:topLinePunct/>
        <w:spacing w:before="0" w:beforeAutospacing="0" w:after="0" w:afterAutospacing="0" w:line="360" w:lineRule="auto"/>
        <w:ind w:firstLine="480" w:firstLineChars="200"/>
        <w:jc w:val="both"/>
        <w:rPr>
          <w:rFonts w:cs="宋体"/>
        </w:rPr>
      </w:pPr>
      <w:r>
        <w:rPr>
          <w:rFonts w:hint="eastAsia" w:cs="宋体"/>
        </w:rPr>
        <w:t>（5）磋商过程中，供应商可以根据磋商情况变更其响应文件，并将变更内容形成书面材料送</w:t>
      </w:r>
      <w:r>
        <w:rPr>
          <w:rFonts w:hint="eastAsia" w:cs="宋体"/>
          <w:lang w:eastAsia="zh-CN"/>
        </w:rPr>
        <w:t>磋商小组</w:t>
      </w:r>
      <w:r>
        <w:rPr>
          <w:rFonts w:hint="eastAsia" w:cs="宋体"/>
        </w:rPr>
        <w:t>。供应商书面材料应当签字确认或者加盖公章，否则无效。供应商为法人的，其书面材料应当由其法定代表人或者代理人签字确认；供应商为其他组织的，其书面材料应当由其主要负责人或者代理人签字确认；供应商为自然人的，其书面材料应当由其本人或者代理人签字确认。变更内容书面材料应作为响应文件的一部分。</w:t>
      </w:r>
    </w:p>
    <w:p>
      <w:pPr>
        <w:pStyle w:val="11"/>
        <w:widowControl w:val="0"/>
        <w:shd w:val="clear" w:color="auto" w:fill="FFFFFF"/>
        <w:overflowPunct w:val="0"/>
        <w:topLinePunct/>
        <w:spacing w:before="0" w:beforeAutospacing="0" w:after="0" w:afterAutospacing="0" w:line="360" w:lineRule="auto"/>
        <w:ind w:firstLine="480" w:firstLineChars="200"/>
        <w:jc w:val="both"/>
        <w:rPr>
          <w:rFonts w:cs="宋体"/>
        </w:rPr>
      </w:pPr>
      <w:r>
        <w:rPr>
          <w:rFonts w:hint="eastAsia" w:cs="宋体"/>
        </w:rPr>
        <w:t>（6）磋商小组在评审过程中，对供应商响应文件中含义不明确、同类问题表述不一致、有明显文字和计算错误或者其他需要澄清的内容，应当以书面形式（须由磋商小组会全体成员签字）要求供应商作出必要的书面澄清，并给予供应商必要的反馈时间。</w:t>
      </w:r>
    </w:p>
    <w:p>
      <w:pPr>
        <w:overflowPunct w:val="0"/>
        <w:topLinePunct/>
        <w:spacing w:line="360" w:lineRule="auto"/>
        <w:ind w:firstLine="480" w:firstLineChars="200"/>
        <w:rPr>
          <w:rFonts w:ascii="宋体" w:hAnsi="宋体" w:cs="宋体"/>
          <w:sz w:val="32"/>
          <w:szCs w:val="32"/>
        </w:rPr>
      </w:pPr>
      <w:r>
        <w:rPr>
          <w:rFonts w:hint="eastAsia" w:ascii="宋体" w:hAnsi="宋体" w:cs="宋体"/>
          <w:sz w:val="24"/>
          <w:szCs w:val="24"/>
        </w:rPr>
        <w:t>供应商应当书面澄清，并加盖公章或签字确认（供应商为法人的，应当由其法定代表人或者代理人签字确认；供应商为其他组织的，应当由其主要负责人或者代理人签字确认；供应商为自然人的，应当由其本人或者代理人签字确认），否则无效。澄清不影响响应文件的效力，有效的澄清材料，是响应文件的组成部分。</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（7）供应商进行最后报价，应当在评审室外填写报价单，密封递交现场监督人员或采购单位工作人员。由工作人员收齐后集中递交磋商小组。</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供应商报价单应当签字确认或者加盖公章，否则无效。供应商为法人的，其报价单应当由其法定代表人或者代理人签字确认；供应商为其他组织的，其报价单应当由其主要负责人或者代理人签字确认；供应商为自然人的，其报价单应当由其本人或者代理人签字确认。</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（8）复核。磋商过程中，磋商小组应当按照财政部的规定进行复核。</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4.磋商工作纪律和注意事项</w:t>
      </w:r>
    </w:p>
    <w:p>
      <w:pPr>
        <w:tabs>
          <w:tab w:val="left" w:pos="1080"/>
        </w:tabs>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（1）磋商过程在严格保密的情况下进行，任何单位和个人不得非法干预、影响磋商过程和结果。</w:t>
      </w:r>
    </w:p>
    <w:p>
      <w:pPr>
        <w:tabs>
          <w:tab w:val="left" w:pos="1080"/>
        </w:tabs>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（2）磋商小组内部讨论的情况和意见必须保密，任何人不得以任何形式透露给供应商或与供应商有关的单位或个人。</w:t>
      </w:r>
    </w:p>
    <w:p>
      <w:pPr>
        <w:tabs>
          <w:tab w:val="left" w:pos="1080"/>
        </w:tabs>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（3）在磋商过程中，供应商不得以任何形式对磋商小组成员进行旨在影响磋商结果的私下接触，否则将取消其参与磋商的资格。</w:t>
      </w:r>
    </w:p>
    <w:p>
      <w:pPr>
        <w:tabs>
          <w:tab w:val="left" w:pos="1080"/>
        </w:tabs>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（4）对各供应商的商业秘密，磋商小组成员应予以保密，不得泄露给其他供应商。</w:t>
      </w:r>
    </w:p>
    <w:p>
      <w:pPr>
        <w:tabs>
          <w:tab w:val="left" w:pos="1080"/>
        </w:tabs>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（5）磋商小组独立评判，推荐成交候选人，并出具评审报告。</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5.其他情形</w:t>
      </w:r>
    </w:p>
    <w:p>
      <w:pPr>
        <w:tabs>
          <w:tab w:val="left" w:pos="900"/>
        </w:tabs>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1）成交供应商拒绝签订政府采购合同或者因自身原因不能履约放弃成交或者被依法取消成交资格，采购单位可以从其他成交候选人中依照顺序重新确定成交供应商,也可以重新组织采购。拒绝签订政府采购合同的成交供应商不得参加对该项目重新开展的采购活动。</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2）采购人依法确定不出成交供应商的，应当重新组织采购，书面告知成交候选供应商，说明理由，并发布公告。采购人逾期未确定成交供应商且不提出异议的，视为确定评审报告提出的排序第一的成交候选供应商为成交供应商。</w:t>
      </w:r>
    </w:p>
    <w:p>
      <w:pPr>
        <w:widowControl/>
        <w:overflowPunct w:val="0"/>
        <w:topLinePunct/>
        <w:jc w:val="left"/>
        <w:rPr>
          <w:rFonts w:ascii="宋体" w:hAnsi="宋体" w:cs="宋体"/>
          <w:sz w:val="24"/>
          <w:szCs w:val="24"/>
        </w:rPr>
      </w:pPr>
      <w:r>
        <w:rPr>
          <w:rFonts w:ascii="宋体" w:hAnsi="宋体" w:cs="宋体"/>
          <w:sz w:val="24"/>
          <w:szCs w:val="24"/>
        </w:rPr>
        <w:br w:type="page"/>
      </w:r>
    </w:p>
    <w:p>
      <w:pPr>
        <w:overflowPunct w:val="0"/>
        <w:topLinePunct/>
        <w:jc w:val="center"/>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综合评分明细表</w:t>
      </w:r>
    </w:p>
    <w:tbl>
      <w:tblPr>
        <w:tblStyle w:val="12"/>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09"/>
        <w:gridCol w:w="581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9" w:type="dxa"/>
            <w:vAlign w:val="center"/>
          </w:tcPr>
          <w:p>
            <w:pPr>
              <w:widowControl/>
              <w:overflowPunct w:val="0"/>
              <w:topLinePunct/>
              <w:jc w:val="center"/>
              <w:rPr>
                <w:rFonts w:ascii="宋体" w:hAnsi="宋体" w:cs="宋体"/>
                <w:b/>
                <w:bCs/>
                <w:color w:val="000000"/>
                <w:sz w:val="24"/>
              </w:rPr>
            </w:pPr>
            <w:r>
              <w:rPr>
                <w:rFonts w:hint="eastAsia" w:ascii="宋体" w:hAnsi="宋体" w:cs="宋体"/>
                <w:b/>
                <w:bCs/>
                <w:color w:val="000000"/>
                <w:sz w:val="24"/>
              </w:rPr>
              <w:t>序号</w:t>
            </w:r>
          </w:p>
        </w:tc>
        <w:tc>
          <w:tcPr>
            <w:tcW w:w="1276" w:type="dxa"/>
            <w:vAlign w:val="center"/>
          </w:tcPr>
          <w:p>
            <w:pPr>
              <w:widowControl/>
              <w:overflowPunct w:val="0"/>
              <w:topLinePunct/>
              <w:jc w:val="center"/>
              <w:rPr>
                <w:rFonts w:ascii="宋体" w:hAnsi="宋体" w:cs="宋体"/>
                <w:b/>
                <w:bCs/>
                <w:color w:val="000000"/>
                <w:sz w:val="24"/>
              </w:rPr>
            </w:pPr>
            <w:r>
              <w:rPr>
                <w:rFonts w:hint="eastAsia" w:ascii="宋体" w:hAnsi="宋体" w:cs="宋体"/>
                <w:b/>
                <w:bCs/>
                <w:color w:val="000000"/>
                <w:sz w:val="24"/>
              </w:rPr>
              <w:t>评分因素</w:t>
            </w:r>
          </w:p>
        </w:tc>
        <w:tc>
          <w:tcPr>
            <w:tcW w:w="709" w:type="dxa"/>
            <w:vAlign w:val="center"/>
          </w:tcPr>
          <w:p>
            <w:pPr>
              <w:widowControl/>
              <w:overflowPunct w:val="0"/>
              <w:topLinePunct/>
              <w:jc w:val="center"/>
              <w:rPr>
                <w:rFonts w:ascii="宋体" w:hAnsi="宋体" w:cs="宋体"/>
                <w:b/>
                <w:bCs/>
                <w:color w:val="000000"/>
                <w:sz w:val="24"/>
              </w:rPr>
            </w:pPr>
            <w:r>
              <w:rPr>
                <w:rFonts w:hint="eastAsia" w:ascii="宋体" w:hAnsi="宋体" w:cs="宋体"/>
                <w:b/>
                <w:bCs/>
                <w:color w:val="000000"/>
                <w:sz w:val="24"/>
              </w:rPr>
              <w:t>分值</w:t>
            </w:r>
          </w:p>
        </w:tc>
        <w:tc>
          <w:tcPr>
            <w:tcW w:w="5811" w:type="dxa"/>
            <w:vAlign w:val="center"/>
          </w:tcPr>
          <w:p>
            <w:pPr>
              <w:widowControl/>
              <w:overflowPunct w:val="0"/>
              <w:topLinePunct/>
              <w:jc w:val="center"/>
              <w:rPr>
                <w:rFonts w:ascii="宋体" w:hAnsi="宋体" w:cs="宋体"/>
                <w:b/>
                <w:bCs/>
                <w:color w:val="000000"/>
                <w:sz w:val="24"/>
              </w:rPr>
            </w:pPr>
            <w:r>
              <w:rPr>
                <w:rFonts w:hint="eastAsia" w:ascii="宋体" w:hAnsi="宋体" w:cs="宋体"/>
                <w:b/>
                <w:bCs/>
                <w:color w:val="000000"/>
                <w:sz w:val="24"/>
              </w:rPr>
              <w:t>评分标准</w:t>
            </w:r>
          </w:p>
        </w:tc>
        <w:tc>
          <w:tcPr>
            <w:tcW w:w="709" w:type="dxa"/>
            <w:vAlign w:val="center"/>
          </w:tcPr>
          <w:p>
            <w:pPr>
              <w:widowControl/>
              <w:overflowPunct w:val="0"/>
              <w:topLinePunct/>
              <w:jc w:val="center"/>
              <w:rPr>
                <w:rFonts w:ascii="宋体" w:hAnsi="宋体" w:cs="宋体"/>
                <w:b/>
                <w:bCs/>
                <w:color w:val="000000"/>
                <w:sz w:val="24"/>
              </w:rPr>
            </w:pPr>
            <w:r>
              <w:rPr>
                <w:rFonts w:hint="eastAsia" w:ascii="宋体" w:hAnsi="宋体" w:cs="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p>
        </w:tc>
        <w:tc>
          <w:tcPr>
            <w:tcW w:w="1276"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报价</w:t>
            </w:r>
          </w:p>
        </w:tc>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w:t>
            </w:r>
          </w:p>
        </w:tc>
        <w:tc>
          <w:tcPr>
            <w:tcW w:w="5811" w:type="dxa"/>
            <w:vAlign w:val="center"/>
          </w:tcPr>
          <w:p>
            <w:pPr>
              <w:widowControl/>
              <w:overflowPunct w:val="0"/>
              <w:topLinePunct/>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以本次有效的最低投标报价为基准价，投标报价得分=(基准价／投标报价)* 10分</w:t>
            </w:r>
          </w:p>
        </w:tc>
        <w:tc>
          <w:tcPr>
            <w:tcW w:w="709" w:type="dxa"/>
            <w:vAlign w:val="center"/>
          </w:tcPr>
          <w:p>
            <w:pPr>
              <w:widowControl/>
              <w:overflowPunct w:val="0"/>
              <w:topLinePunc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w:t>
            </w:r>
          </w:p>
        </w:tc>
        <w:tc>
          <w:tcPr>
            <w:tcW w:w="1276"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合作</w:t>
            </w:r>
          </w:p>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服务响应</w:t>
            </w:r>
          </w:p>
        </w:tc>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szCs w:val="21"/>
              </w:rPr>
              <w:t>12</w:t>
            </w:r>
          </w:p>
        </w:tc>
        <w:tc>
          <w:tcPr>
            <w:tcW w:w="5811" w:type="dxa"/>
            <w:vAlign w:val="center"/>
          </w:tcPr>
          <w:p>
            <w:pPr>
              <w:widowControl/>
              <w:overflowPunct w:val="0"/>
              <w:topLinePunct/>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完全满足招标文件要求无偏离的得满分12分；每出现一项偏离的扣2分,扣完为止。</w:t>
            </w:r>
          </w:p>
        </w:tc>
        <w:tc>
          <w:tcPr>
            <w:tcW w:w="709" w:type="dxa"/>
            <w:vAlign w:val="center"/>
          </w:tcPr>
          <w:p>
            <w:pPr>
              <w:widowControl/>
              <w:overflowPunct w:val="0"/>
              <w:topLinePunc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9" w:hRule="atLeast"/>
        </w:trPr>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w:t>
            </w:r>
          </w:p>
        </w:tc>
        <w:tc>
          <w:tcPr>
            <w:tcW w:w="1276"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服务团队</w:t>
            </w:r>
          </w:p>
        </w:tc>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szCs w:val="21"/>
              </w:rPr>
              <w:t>16</w:t>
            </w:r>
          </w:p>
        </w:tc>
        <w:tc>
          <w:tcPr>
            <w:tcW w:w="5811" w:type="dxa"/>
            <w:vAlign w:val="center"/>
          </w:tcPr>
          <w:p>
            <w:pPr>
              <w:widowControl/>
              <w:overflowPunct w:val="0"/>
              <w:topLinePunct/>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结合本项目特点，提供的服务团队方案进行综合评比：①团队结构需配备导演、制片、摄影师、灯光师、剪辑师、调色师、动画特效人员；②项目负责人、导演、摄影师</w:t>
            </w:r>
            <w:r>
              <w:rPr>
                <w:rFonts w:hint="eastAsia" w:cs="宋体" w:asciiTheme="minorEastAsia" w:hAnsiTheme="minorEastAsia" w:eastAsiaTheme="minorEastAsia"/>
                <w:color w:val="000000"/>
                <w:szCs w:val="21"/>
                <w:lang w:eastAsia="zh-CN"/>
              </w:rPr>
              <w:t>均</w:t>
            </w:r>
            <w:r>
              <w:rPr>
                <w:rFonts w:hint="eastAsia" w:cs="宋体" w:asciiTheme="minorEastAsia" w:hAnsiTheme="minorEastAsia" w:eastAsiaTheme="minorEastAsia"/>
                <w:color w:val="000000"/>
                <w:szCs w:val="21"/>
              </w:rPr>
              <w:t>有五年以上影视行业工作经验；③人员配备及职能分工完备，涵盖导演、策划、制片、摄影、美术、化妆师、灯光师。后期团队4人以上，现场后勤团队4人以上；④管理制度包含完整的策划流程、制片流程、应急处置流程。每有一项缺失或不符合本项目实际需求的一项扣</w:t>
            </w:r>
            <w:r>
              <w:rPr>
                <w:rFonts w:cs="宋体" w:asciiTheme="minorEastAsia" w:hAnsiTheme="minorEastAsia" w:eastAsiaTheme="minorEastAsia"/>
                <w:color w:val="000000"/>
                <w:szCs w:val="21"/>
              </w:rPr>
              <w:t>4</w:t>
            </w:r>
            <w:r>
              <w:rPr>
                <w:rFonts w:hint="eastAsia" w:cs="宋体" w:asciiTheme="minorEastAsia" w:hAnsiTheme="minorEastAsia" w:eastAsiaTheme="minorEastAsia"/>
                <w:color w:val="000000"/>
                <w:szCs w:val="21"/>
              </w:rPr>
              <w:t>分，直至本项分值扣完为止。</w:t>
            </w:r>
          </w:p>
        </w:tc>
        <w:tc>
          <w:tcPr>
            <w:tcW w:w="709" w:type="dxa"/>
            <w:vAlign w:val="center"/>
          </w:tcPr>
          <w:p>
            <w:pPr>
              <w:widowControl/>
              <w:overflowPunct w:val="0"/>
              <w:topLinePunct/>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trPr>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w:t>
            </w:r>
          </w:p>
        </w:tc>
        <w:tc>
          <w:tcPr>
            <w:tcW w:w="1276"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项目</w:t>
            </w:r>
          </w:p>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实施方案</w:t>
            </w:r>
          </w:p>
        </w:tc>
        <w:tc>
          <w:tcPr>
            <w:tcW w:w="709" w:type="dxa"/>
            <w:vAlign w:val="center"/>
          </w:tcPr>
          <w:p>
            <w:pPr>
              <w:widowControl/>
              <w:overflowPunct w:val="0"/>
              <w:topLinePun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30</w:t>
            </w:r>
          </w:p>
        </w:tc>
        <w:tc>
          <w:tcPr>
            <w:tcW w:w="5811" w:type="dxa"/>
            <w:vAlign w:val="center"/>
          </w:tcPr>
          <w:p>
            <w:pPr>
              <w:widowControl/>
              <w:overflowPunct w:val="0"/>
              <w:topLinePunct/>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1.实施方案（25分）</w:t>
            </w:r>
          </w:p>
          <w:p>
            <w:pPr>
              <w:widowControl/>
              <w:overflowPunct w:val="0"/>
              <w:topLinePunct/>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①整体拍摄制作方案；②项目操作流程及关键点控制；③摄像设备配置；④质量保障；⑤项目执行进度安排。每有一项缺失或不符合本项目实际需求的扣5分，直至本项分值扣完为止。</w:t>
            </w:r>
          </w:p>
          <w:p>
            <w:pPr>
              <w:widowControl/>
              <w:overflowPunct w:val="0"/>
              <w:topLinePunct/>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2.后期服务（5分）</w:t>
            </w:r>
          </w:p>
          <w:p>
            <w:pPr>
              <w:widowControl/>
              <w:overflowPunct w:val="0"/>
              <w:topLinePunct/>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承诺项目完工后一年之内可免费修改不超过视频时间总长度10%的后期内容，如图片、文字、配音等。不提供承诺函的不得分。</w:t>
            </w:r>
          </w:p>
        </w:tc>
        <w:tc>
          <w:tcPr>
            <w:tcW w:w="709" w:type="dxa"/>
            <w:vAlign w:val="center"/>
          </w:tcPr>
          <w:p>
            <w:pPr>
              <w:widowControl/>
              <w:overflowPunct w:val="0"/>
              <w:topLinePunct/>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7" w:hRule="atLeast"/>
        </w:trPr>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w:t>
            </w:r>
          </w:p>
        </w:tc>
        <w:tc>
          <w:tcPr>
            <w:tcW w:w="1276" w:type="dxa"/>
            <w:vAlign w:val="center"/>
          </w:tcPr>
          <w:p>
            <w:pPr>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履约能力</w:t>
            </w:r>
          </w:p>
        </w:tc>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szCs w:val="21"/>
              </w:rPr>
              <w:t>25</w:t>
            </w:r>
          </w:p>
        </w:tc>
        <w:tc>
          <w:tcPr>
            <w:tcW w:w="5811" w:type="dxa"/>
            <w:vAlign w:val="center"/>
          </w:tcPr>
          <w:p>
            <w:pPr>
              <w:overflowPunct w:val="0"/>
              <w:topLinePunct/>
              <w:ind w:firstLine="420" w:firstLineChars="200"/>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1.人员资历：（6分）</w:t>
            </w:r>
          </w:p>
          <w:p>
            <w:pPr>
              <w:overflowPunct w:val="0"/>
              <w:topLinePunct/>
              <w:ind w:firstLine="420" w:firstLineChars="200"/>
              <w:rPr>
                <w:rFonts w:cs="仿宋" w:asciiTheme="minorEastAsia" w:hAnsiTheme="minorEastAsia" w:eastAsiaTheme="minorEastAsia"/>
                <w:color w:val="000000"/>
                <w:szCs w:val="21"/>
              </w:rPr>
            </w:pPr>
            <w:r>
              <w:rPr>
                <w:rFonts w:cs="仿宋" w:asciiTheme="minorEastAsia" w:hAnsiTheme="minorEastAsia" w:eastAsiaTheme="minorEastAsia"/>
                <w:color w:val="000000"/>
                <w:szCs w:val="21"/>
              </w:rPr>
              <w:t>服务团队人员视频编辑</w:t>
            </w:r>
            <w:r>
              <w:rPr>
                <w:rFonts w:hint="eastAsia" w:cs="仿宋" w:asciiTheme="minorEastAsia" w:hAnsiTheme="minorEastAsia" w:eastAsiaTheme="minorEastAsia"/>
                <w:color w:val="000000"/>
                <w:szCs w:val="21"/>
              </w:rPr>
              <w:t>、</w:t>
            </w:r>
            <w:r>
              <w:rPr>
                <w:rFonts w:cs="仿宋" w:asciiTheme="minorEastAsia" w:hAnsiTheme="minorEastAsia" w:eastAsiaTheme="minorEastAsia"/>
                <w:color w:val="000000"/>
                <w:szCs w:val="21"/>
              </w:rPr>
              <w:t>编剧导演</w:t>
            </w:r>
            <w:r>
              <w:rPr>
                <w:rFonts w:hint="eastAsia" w:cs="仿宋" w:asciiTheme="minorEastAsia" w:hAnsiTheme="minorEastAsia" w:eastAsiaTheme="minorEastAsia"/>
                <w:color w:val="000000"/>
                <w:szCs w:val="21"/>
              </w:rPr>
              <w:t>、</w:t>
            </w:r>
            <w:r>
              <w:rPr>
                <w:rFonts w:cs="仿宋" w:asciiTheme="minorEastAsia" w:hAnsiTheme="minorEastAsia" w:eastAsiaTheme="minorEastAsia"/>
                <w:color w:val="000000"/>
                <w:szCs w:val="21"/>
              </w:rPr>
              <w:t>影视文学等方面具有中级专业技术职称的每有一人得</w:t>
            </w:r>
            <w:r>
              <w:rPr>
                <w:rFonts w:hint="eastAsia" w:cs="仿宋" w:asciiTheme="minorEastAsia" w:hAnsiTheme="minorEastAsia" w:eastAsiaTheme="minorEastAsia"/>
                <w:color w:val="000000"/>
                <w:szCs w:val="21"/>
              </w:rPr>
              <w:t>1</w:t>
            </w:r>
            <w:r>
              <w:rPr>
                <w:rFonts w:cs="仿宋" w:asciiTheme="minorEastAsia" w:hAnsiTheme="minorEastAsia" w:eastAsiaTheme="minorEastAsia"/>
                <w:color w:val="000000"/>
                <w:szCs w:val="21"/>
              </w:rPr>
              <w:t>分，最高得</w:t>
            </w:r>
            <w:r>
              <w:rPr>
                <w:rFonts w:hint="eastAsia" w:cs="仿宋" w:asciiTheme="minorEastAsia" w:hAnsiTheme="minorEastAsia" w:eastAsiaTheme="minorEastAsia"/>
                <w:color w:val="000000"/>
                <w:szCs w:val="21"/>
              </w:rPr>
              <w:t>2</w:t>
            </w:r>
            <w:r>
              <w:rPr>
                <w:rFonts w:cs="仿宋" w:asciiTheme="minorEastAsia" w:hAnsiTheme="minorEastAsia" w:eastAsiaTheme="minorEastAsia"/>
                <w:color w:val="000000"/>
                <w:szCs w:val="21"/>
              </w:rPr>
              <w:t>分；具有高级专业技术职称的每有一人得</w:t>
            </w:r>
            <w:r>
              <w:rPr>
                <w:rFonts w:hint="eastAsia" w:cs="仿宋" w:asciiTheme="minorEastAsia" w:hAnsiTheme="minorEastAsia" w:eastAsiaTheme="minorEastAsia"/>
                <w:color w:val="000000"/>
                <w:szCs w:val="21"/>
              </w:rPr>
              <w:t>2</w:t>
            </w:r>
            <w:r>
              <w:rPr>
                <w:rFonts w:cs="仿宋" w:asciiTheme="minorEastAsia" w:hAnsiTheme="minorEastAsia" w:eastAsiaTheme="minorEastAsia"/>
                <w:color w:val="000000"/>
                <w:szCs w:val="21"/>
              </w:rPr>
              <w:t>分，最高得</w:t>
            </w:r>
            <w:r>
              <w:rPr>
                <w:rFonts w:hint="eastAsia" w:cs="仿宋" w:asciiTheme="minorEastAsia" w:hAnsiTheme="minorEastAsia" w:eastAsiaTheme="minorEastAsia"/>
                <w:color w:val="000000"/>
                <w:szCs w:val="21"/>
              </w:rPr>
              <w:t>4</w:t>
            </w:r>
            <w:r>
              <w:rPr>
                <w:rFonts w:cs="仿宋" w:asciiTheme="minorEastAsia" w:hAnsiTheme="minorEastAsia" w:eastAsiaTheme="minorEastAsia"/>
                <w:color w:val="000000"/>
                <w:szCs w:val="21"/>
              </w:rPr>
              <w:t>分</w:t>
            </w:r>
            <w:r>
              <w:rPr>
                <w:rFonts w:hint="eastAsia" w:cs="仿宋" w:asciiTheme="minorEastAsia" w:hAnsiTheme="minorEastAsia" w:eastAsiaTheme="minorEastAsia"/>
                <w:color w:val="000000"/>
                <w:szCs w:val="21"/>
              </w:rPr>
              <w:t>。</w:t>
            </w:r>
          </w:p>
          <w:p>
            <w:pPr>
              <w:overflowPunct w:val="0"/>
              <w:topLinePunct/>
              <w:ind w:firstLine="420" w:firstLineChars="200"/>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2.项目资历：（19分）</w:t>
            </w:r>
          </w:p>
          <w:p>
            <w:pPr>
              <w:overflowPunct w:val="0"/>
              <w:topLinePunct/>
              <w:ind w:firstLine="420" w:firstLineChars="200"/>
              <w:rPr>
                <w:rFonts w:cs="仿宋" w:asciiTheme="minorEastAsia" w:hAnsiTheme="minorEastAsia" w:eastAsiaTheme="minorEastAsia"/>
                <w:color w:val="000000"/>
                <w:szCs w:val="21"/>
              </w:rPr>
            </w:pPr>
            <w:r>
              <w:rPr>
                <w:rFonts w:cs="仿宋" w:asciiTheme="minorEastAsia" w:hAnsiTheme="minorEastAsia" w:eastAsiaTheme="minorEastAsia"/>
                <w:color w:val="000000"/>
                <w:szCs w:val="21"/>
              </w:rPr>
              <w:t>服务团队获得省级及以上宣传片</w:t>
            </w:r>
            <w:r>
              <w:rPr>
                <w:rFonts w:hint="eastAsia" w:cs="仿宋" w:asciiTheme="minorEastAsia" w:hAnsiTheme="minorEastAsia" w:eastAsiaTheme="minorEastAsia"/>
                <w:color w:val="000000"/>
                <w:szCs w:val="21"/>
              </w:rPr>
              <w:t>、</w:t>
            </w:r>
            <w:r>
              <w:rPr>
                <w:rFonts w:cs="仿宋" w:asciiTheme="minorEastAsia" w:hAnsiTheme="minorEastAsia" w:eastAsiaTheme="minorEastAsia"/>
                <w:color w:val="000000"/>
                <w:szCs w:val="21"/>
              </w:rPr>
              <w:t>公益广告片</w:t>
            </w:r>
            <w:r>
              <w:rPr>
                <w:rFonts w:hint="eastAsia" w:cs="仿宋" w:asciiTheme="minorEastAsia" w:hAnsiTheme="minorEastAsia" w:eastAsiaTheme="minorEastAsia"/>
                <w:color w:val="000000"/>
                <w:szCs w:val="21"/>
              </w:rPr>
              <w:t>、</w:t>
            </w:r>
            <w:r>
              <w:rPr>
                <w:rFonts w:cs="仿宋" w:asciiTheme="minorEastAsia" w:hAnsiTheme="minorEastAsia" w:eastAsiaTheme="minorEastAsia"/>
                <w:color w:val="000000"/>
                <w:szCs w:val="21"/>
              </w:rPr>
              <w:t>纪录片类奖项</w:t>
            </w:r>
            <w:r>
              <w:rPr>
                <w:rFonts w:hint="eastAsia" w:cs="仿宋" w:asciiTheme="minorEastAsia" w:hAnsiTheme="minorEastAsia" w:eastAsiaTheme="minorEastAsia"/>
                <w:color w:val="000000"/>
                <w:szCs w:val="21"/>
              </w:rPr>
              <w:t>，</w:t>
            </w:r>
            <w:r>
              <w:rPr>
                <w:rFonts w:cs="仿宋" w:asciiTheme="minorEastAsia" w:hAnsiTheme="minorEastAsia" w:eastAsiaTheme="minorEastAsia"/>
                <w:color w:val="000000"/>
                <w:szCs w:val="21"/>
              </w:rPr>
              <w:t>有一项得</w:t>
            </w:r>
            <w:r>
              <w:rPr>
                <w:rFonts w:hint="eastAsia" w:cs="仿宋" w:asciiTheme="minorEastAsia" w:hAnsiTheme="minorEastAsia" w:eastAsiaTheme="minorEastAsia"/>
                <w:color w:val="000000"/>
                <w:szCs w:val="21"/>
              </w:rPr>
              <w:t>2分，最高10分；服务团队拍摄过省级及以上生产安全、自然灾害类影视宣传作品的，有一项得3分，最高9分。</w:t>
            </w:r>
            <w:r>
              <w:rPr>
                <w:rFonts w:cs="仿宋" w:asciiTheme="minorEastAsia" w:hAnsiTheme="minorEastAsia" w:eastAsiaTheme="minorEastAsia"/>
                <w:color w:val="000000"/>
                <w:szCs w:val="21"/>
              </w:rPr>
              <w:t>本项最高分</w:t>
            </w:r>
            <w:r>
              <w:rPr>
                <w:rFonts w:hint="eastAsia" w:cs="仿宋" w:asciiTheme="minorEastAsia" w:hAnsiTheme="minorEastAsia" w:eastAsiaTheme="minorEastAsia"/>
                <w:color w:val="000000"/>
                <w:szCs w:val="21"/>
              </w:rPr>
              <w:t>19</w:t>
            </w:r>
            <w:r>
              <w:rPr>
                <w:rFonts w:cs="仿宋" w:asciiTheme="minorEastAsia" w:hAnsiTheme="minorEastAsia" w:eastAsiaTheme="minorEastAsia"/>
                <w:color w:val="000000"/>
                <w:szCs w:val="21"/>
              </w:rPr>
              <w:t>分</w:t>
            </w:r>
            <w:r>
              <w:rPr>
                <w:rFonts w:hint="eastAsia" w:cs="仿宋" w:asciiTheme="minorEastAsia" w:hAnsiTheme="minorEastAsia" w:eastAsiaTheme="minorEastAsia"/>
                <w:color w:val="000000"/>
                <w:szCs w:val="21"/>
              </w:rPr>
              <w:t>，</w:t>
            </w:r>
            <w:r>
              <w:rPr>
                <w:rFonts w:cs="仿宋" w:asciiTheme="minorEastAsia" w:hAnsiTheme="minorEastAsia" w:eastAsiaTheme="minorEastAsia"/>
                <w:color w:val="000000"/>
                <w:szCs w:val="21"/>
              </w:rPr>
              <w:t>不重复计分。</w:t>
            </w:r>
          </w:p>
          <w:p>
            <w:pPr>
              <w:overflowPunct w:val="0"/>
              <w:topLinePunct/>
              <w:ind w:firstLine="420" w:firstLineChars="200"/>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注：1.上述人员及奖项不重复得分，若有重复，取得分最高值。2.自然灾害类、安全生产类影视宣传作品的需在项目业绩一览表备注中注明“自然灾害类”或“安全生产类”。</w:t>
            </w:r>
          </w:p>
        </w:tc>
        <w:tc>
          <w:tcPr>
            <w:tcW w:w="709" w:type="dxa"/>
            <w:vAlign w:val="center"/>
          </w:tcPr>
          <w:p>
            <w:pPr>
              <w:widowControl/>
              <w:overflowPunct w:val="0"/>
              <w:topLinePunc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w:t>
            </w:r>
          </w:p>
        </w:tc>
        <w:tc>
          <w:tcPr>
            <w:tcW w:w="1276" w:type="dxa"/>
            <w:vAlign w:val="center"/>
          </w:tcPr>
          <w:p>
            <w:pPr>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设备状况</w:t>
            </w:r>
          </w:p>
        </w:tc>
        <w:tc>
          <w:tcPr>
            <w:tcW w:w="709" w:type="dxa"/>
            <w:vAlign w:val="center"/>
          </w:tcPr>
          <w:p>
            <w:pPr>
              <w:widowControl/>
              <w:overflowPunct w:val="0"/>
              <w:topLinePun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5811" w:type="dxa"/>
            <w:vAlign w:val="center"/>
          </w:tcPr>
          <w:p>
            <w:pPr>
              <w:overflowPunct w:val="0"/>
              <w:topLinePunct/>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人提供的设备包括4K或以上电影级摄像机，各类型电影镜头、灯光、轨道或稳定器、后期编辑设备等。提供完备得5分，每有一项缺失或不符合本项目实际需求的一项扣1分，直至本项分值扣完为止。（需提供承诺函）</w:t>
            </w:r>
          </w:p>
        </w:tc>
        <w:tc>
          <w:tcPr>
            <w:tcW w:w="709" w:type="dxa"/>
            <w:vAlign w:val="center"/>
          </w:tcPr>
          <w:p>
            <w:pPr>
              <w:widowControl/>
              <w:overflowPunct w:val="0"/>
              <w:topLinePunct/>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7</w:t>
            </w:r>
          </w:p>
        </w:tc>
        <w:tc>
          <w:tcPr>
            <w:tcW w:w="1276"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投标文件</w:t>
            </w:r>
          </w:p>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的规范性</w:t>
            </w:r>
          </w:p>
        </w:tc>
        <w:tc>
          <w:tcPr>
            <w:tcW w:w="709" w:type="dxa"/>
            <w:vAlign w:val="center"/>
          </w:tcPr>
          <w:p>
            <w:pPr>
              <w:widowControl/>
              <w:overflowPunct w:val="0"/>
              <w:topLinePun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w:t>
            </w:r>
          </w:p>
        </w:tc>
        <w:tc>
          <w:tcPr>
            <w:tcW w:w="5811" w:type="dxa"/>
            <w:vAlign w:val="center"/>
          </w:tcPr>
          <w:p>
            <w:pPr>
              <w:widowControl/>
              <w:overflowPunct w:val="0"/>
              <w:topLinePunct/>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参选文件制作规范，没有细微偏差情形的得2分，有一项细微偏差扣1分，直至该项分值扣完为止。</w:t>
            </w:r>
          </w:p>
        </w:tc>
        <w:tc>
          <w:tcPr>
            <w:tcW w:w="709" w:type="dxa"/>
            <w:vAlign w:val="center"/>
          </w:tcPr>
          <w:p>
            <w:pPr>
              <w:widowControl/>
              <w:overflowPunct w:val="0"/>
              <w:topLinePunct/>
              <w:ind w:left="336" w:hanging="336" w:hangingChars="16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w:t>
            </w:r>
          </w:p>
        </w:tc>
      </w:tr>
    </w:tbl>
    <w:p>
      <w:pPr>
        <w:widowControl/>
        <w:overflowPunct w:val="0"/>
        <w:topLinePunct/>
        <w:jc w:val="center"/>
        <w:rPr>
          <w:rFonts w:ascii="宋体" w:hAnsi="宋体" w:cs="宋体"/>
        </w:rPr>
      </w:pPr>
      <w:bookmarkStart w:id="67" w:name="_Toc193106073"/>
      <w:bookmarkStart w:id="68" w:name="_Toc193105927"/>
      <w:bookmarkStart w:id="69" w:name="_Toc192318716"/>
      <w:bookmarkStart w:id="70" w:name="_Toc193106184"/>
      <w:bookmarkStart w:id="71" w:name="_Toc16149"/>
      <w:bookmarkStart w:id="72" w:name="_Toc18884"/>
      <w:r>
        <w:rPr>
          <w:rFonts w:ascii="宋体" w:hAnsi="宋体" w:cs="宋体"/>
        </w:rPr>
        <w:br w:type="page"/>
      </w:r>
      <w:r>
        <w:rPr>
          <w:rFonts w:hint="eastAsia" w:ascii="宋体" w:hAnsi="宋体" w:cs="宋体"/>
          <w:b/>
          <w:kern w:val="44"/>
          <w:sz w:val="30"/>
          <w:szCs w:val="30"/>
        </w:rPr>
        <w:t>十一 、</w:t>
      </w:r>
      <w:bookmarkEnd w:id="67"/>
      <w:bookmarkEnd w:id="68"/>
      <w:bookmarkEnd w:id="69"/>
      <w:bookmarkEnd w:id="70"/>
      <w:r>
        <w:rPr>
          <w:rFonts w:hint="eastAsia" w:ascii="宋体" w:hAnsi="宋体" w:cs="宋体"/>
          <w:b/>
          <w:kern w:val="44"/>
          <w:sz w:val="30"/>
          <w:szCs w:val="30"/>
        </w:rPr>
        <w:t>供应商响应文件相关文书格式</w:t>
      </w:r>
      <w:bookmarkEnd w:id="71"/>
      <w:bookmarkEnd w:id="72"/>
    </w:p>
    <w:p>
      <w:pPr>
        <w:overflowPunct w:val="0"/>
        <w:topLinePunct/>
        <w:rPr>
          <w:rFonts w:ascii="宋体" w:hAnsi="宋体" w:cs="宋体"/>
          <w:b/>
          <w:sz w:val="30"/>
          <w:szCs w:val="30"/>
        </w:rPr>
      </w:pPr>
      <w:r>
        <w:rPr>
          <w:rFonts w:hint="eastAsia" w:ascii="宋体" w:hAnsi="宋体" w:cs="宋体"/>
          <w:b/>
          <w:sz w:val="30"/>
          <w:szCs w:val="30"/>
        </w:rPr>
        <w:t>格式1</w:t>
      </w:r>
    </w:p>
    <w:p>
      <w:pPr>
        <w:overflowPunct w:val="0"/>
        <w:topLinePunct/>
        <w:jc w:val="center"/>
        <w:rPr>
          <w:rFonts w:ascii="宋体" w:hAnsi="宋体" w:cs="宋体"/>
          <w:b/>
          <w:sz w:val="30"/>
          <w:szCs w:val="30"/>
        </w:rPr>
      </w:pPr>
      <w:r>
        <w:rPr>
          <w:rFonts w:hint="eastAsia" w:ascii="宋体" w:hAnsi="宋体" w:cs="宋体"/>
          <w:b/>
          <w:sz w:val="30"/>
          <w:szCs w:val="30"/>
        </w:rPr>
        <w:t>磋商函</w:t>
      </w:r>
    </w:p>
    <w:p>
      <w:pPr>
        <w:overflowPunct w:val="0"/>
        <w:topLinePunct/>
        <w:jc w:val="center"/>
        <w:rPr>
          <w:rFonts w:ascii="宋体" w:hAnsi="宋体" w:cs="宋体"/>
          <w:b/>
          <w:sz w:val="32"/>
          <w:szCs w:val="32"/>
        </w:rPr>
      </w:pPr>
    </w:p>
    <w:p>
      <w:pPr>
        <w:overflowPunct w:val="0"/>
        <w:topLinePunct/>
        <w:spacing w:line="360" w:lineRule="auto"/>
        <w:rPr>
          <w:rFonts w:ascii="宋体" w:hAnsi="宋体" w:cs="宋体"/>
          <w:sz w:val="24"/>
          <w:szCs w:val="24"/>
        </w:rPr>
      </w:pPr>
      <w:r>
        <w:rPr>
          <w:rFonts w:hint="eastAsia" w:ascii="宋体" w:hAnsi="宋体" w:cs="宋体"/>
          <w:sz w:val="24"/>
          <w:szCs w:val="24"/>
        </w:rPr>
        <w:t>四川省应急管理厅：</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1.我单位全面研究了你单位“ ”项目磋商文件，决定参加贵单位组织的本项目磋商报价。我方授权（姓名、职务）代表我方（磋商报价单位的名称）全权处理本项目磋商报价的有关事宜。</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2.一旦我方成交，我方将严格履行合同规定的责任和义务。</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3.我方同意本谈判文件依据《四川省政府采购当事人诚信管理办法》（川财采【2015】33号文件）对我方可能存在的失信行为进行的惩戒。</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4.我方愿意提供贵单位可能另外要求的，与磋商报价有关的文件资料，并保证我方已提供和将要提供的文件资料是真实、准确的, 对提交的响应文件的真实性、合法性承担法律责任。</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5.我方完全理解贵单位不一定将合同授予最低报价的供应商的行为。</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6.本次磋商，我方报价有效期为磋商文件规定的磋商之日后 天。</w:t>
      </w:r>
    </w:p>
    <w:p>
      <w:pPr>
        <w:overflowPunct w:val="0"/>
        <w:topLinePunct/>
        <w:adjustRightInd w:val="0"/>
        <w:spacing w:line="360" w:lineRule="auto"/>
        <w:ind w:firstLine="480" w:firstLineChars="200"/>
        <w:rPr>
          <w:rFonts w:ascii="宋体" w:hAnsi="宋体" w:cs="宋体"/>
          <w:color w:val="000000"/>
          <w:sz w:val="24"/>
          <w:szCs w:val="24"/>
        </w:rPr>
      </w:pPr>
    </w:p>
    <w:p>
      <w:pPr>
        <w:overflowPunct w:val="0"/>
        <w:topLinePunct/>
        <w:adjustRightIn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供应商名称：（盖章）</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法定代表人或授权代表（签字或盖章）：</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通讯地址：</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联系电话：</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开户银行：</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帐    号：</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收款单位：</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日    期：</w:t>
      </w:r>
    </w:p>
    <w:p>
      <w:pPr>
        <w:widowControl/>
        <w:overflowPunct w:val="0"/>
        <w:topLinePunct/>
        <w:jc w:val="left"/>
        <w:rPr>
          <w:rFonts w:ascii="宋体" w:hAnsi="宋体" w:cs="宋体"/>
          <w:b/>
          <w:sz w:val="28"/>
          <w:szCs w:val="28"/>
        </w:rPr>
      </w:pPr>
      <w:r>
        <w:rPr>
          <w:rFonts w:ascii="宋体" w:hAnsi="宋体" w:cs="宋体"/>
          <w:b/>
          <w:sz w:val="28"/>
          <w:szCs w:val="28"/>
        </w:rPr>
        <w:br w:type="page"/>
      </w:r>
    </w:p>
    <w:p>
      <w:pPr>
        <w:overflowPunct w:val="0"/>
        <w:topLinePunct/>
        <w:rPr>
          <w:rFonts w:ascii="宋体" w:hAnsi="宋体" w:cs="宋体"/>
          <w:b/>
          <w:sz w:val="30"/>
          <w:szCs w:val="30"/>
        </w:rPr>
      </w:pPr>
      <w:r>
        <w:rPr>
          <w:rFonts w:hint="eastAsia" w:ascii="宋体" w:hAnsi="宋体" w:cs="宋体"/>
          <w:b/>
          <w:sz w:val="30"/>
          <w:szCs w:val="30"/>
        </w:rPr>
        <w:t>格式2</w:t>
      </w:r>
    </w:p>
    <w:p>
      <w:pPr>
        <w:overflowPunct w:val="0"/>
        <w:topLinePunct/>
        <w:jc w:val="center"/>
        <w:rPr>
          <w:rFonts w:ascii="宋体" w:hAnsi="宋体" w:cs="宋体"/>
          <w:b/>
          <w:sz w:val="30"/>
          <w:szCs w:val="30"/>
        </w:rPr>
      </w:pPr>
      <w:r>
        <w:rPr>
          <w:rFonts w:hint="eastAsia" w:ascii="宋体" w:hAnsi="宋体" w:cs="宋体"/>
          <w:b/>
          <w:sz w:val="30"/>
          <w:szCs w:val="30"/>
        </w:rPr>
        <w:t>法定代表人授权书</w:t>
      </w:r>
    </w:p>
    <w:p>
      <w:pPr>
        <w:overflowPunct w:val="0"/>
        <w:topLinePunct/>
        <w:jc w:val="center"/>
        <w:rPr>
          <w:rFonts w:ascii="宋体" w:hAnsi="宋体" w:cs="宋体"/>
          <w:b/>
          <w:sz w:val="44"/>
        </w:rPr>
      </w:pPr>
    </w:p>
    <w:p>
      <w:pPr>
        <w:overflowPunct w:val="0"/>
        <w:topLinePunct/>
        <w:spacing w:line="360" w:lineRule="auto"/>
        <w:rPr>
          <w:rFonts w:ascii="宋体" w:hAnsi="宋体" w:cs="宋体"/>
          <w:sz w:val="24"/>
          <w:szCs w:val="24"/>
        </w:rPr>
      </w:pPr>
      <w:r>
        <w:rPr>
          <w:rFonts w:hint="eastAsia" w:ascii="宋体" w:hAnsi="宋体" w:cs="宋体"/>
          <w:sz w:val="24"/>
          <w:szCs w:val="24"/>
        </w:rPr>
        <w:t>四川省应急管理厅：</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本授权声明：（单位名称）</w:t>
      </w:r>
      <w:r>
        <w:rPr>
          <w:rFonts w:hint="eastAsia" w:ascii="宋体" w:hAnsi="宋体" w:cs="宋体"/>
          <w:color w:val="FFFFFF"/>
          <w:sz w:val="24"/>
          <w:szCs w:val="24"/>
        </w:rPr>
        <w:t>.</w:t>
      </w:r>
      <w:r>
        <w:rPr>
          <w:rFonts w:hint="eastAsia" w:ascii="宋体" w:hAnsi="宋体" w:cs="宋体"/>
          <w:sz w:val="24"/>
          <w:szCs w:val="24"/>
        </w:rPr>
        <w:t>（法定代表人姓名、职务）授权（被授权人姓名、职务）为我方“ ”项目磋商报价活动的合法代表，以我方名义全权处理该项目有关磋商报价、签订合同以及执行合同等一切事宜。</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特此声明。</w:t>
      </w:r>
    </w:p>
    <w:p>
      <w:pPr>
        <w:overflowPunct w:val="0"/>
        <w:topLinePunct/>
        <w:adjustRightIn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供应商名称：（盖章）</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法定代表人（签字或盖章）：</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职    务：</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授权代表签字：</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职    务：</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日    期：</w:t>
      </w:r>
    </w:p>
    <w:p>
      <w:pPr>
        <w:overflowPunct w:val="0"/>
        <w:topLinePunct/>
        <w:spacing w:line="360" w:lineRule="auto"/>
        <w:rPr>
          <w:rFonts w:ascii="宋体" w:hAnsi="宋体" w:cs="宋体"/>
          <w:sz w:val="24"/>
          <w:szCs w:val="24"/>
        </w:rPr>
      </w:pPr>
    </w:p>
    <w:p>
      <w:pPr>
        <w:overflowPunct w:val="0"/>
        <w:topLinePunct/>
        <w:rPr>
          <w:rFonts w:ascii="宋体" w:hAnsi="宋体" w:cs="宋体"/>
          <w:sz w:val="32"/>
        </w:rPr>
      </w:pPr>
    </w:p>
    <w:p>
      <w:pPr>
        <w:overflowPunct w:val="0"/>
        <w:topLinePunct/>
        <w:rPr>
          <w:rFonts w:ascii="宋体" w:hAnsi="宋体" w:cs="宋体"/>
          <w:sz w:val="36"/>
          <w:szCs w:val="36"/>
        </w:rPr>
      </w:pPr>
    </w:p>
    <w:p>
      <w:pPr>
        <w:overflowPunct w:val="0"/>
        <w:topLinePunct/>
        <w:rPr>
          <w:rFonts w:ascii="宋体" w:hAnsi="宋体" w:cs="宋体"/>
          <w:sz w:val="36"/>
          <w:szCs w:val="36"/>
        </w:rPr>
      </w:pPr>
    </w:p>
    <w:p>
      <w:pPr>
        <w:overflowPunct w:val="0"/>
        <w:topLinePunct/>
        <w:rPr>
          <w:rFonts w:ascii="宋体" w:hAnsi="宋体" w:cs="宋体"/>
          <w:sz w:val="36"/>
          <w:szCs w:val="36"/>
        </w:rPr>
      </w:pPr>
    </w:p>
    <w:p>
      <w:pPr>
        <w:overflowPunct w:val="0"/>
        <w:topLinePunct/>
        <w:rPr>
          <w:rFonts w:ascii="宋体" w:hAnsi="宋体" w:cs="宋体"/>
          <w:sz w:val="36"/>
          <w:szCs w:val="36"/>
        </w:rPr>
      </w:pPr>
    </w:p>
    <w:p>
      <w:pPr>
        <w:overflowPunct w:val="0"/>
        <w:topLinePunct/>
        <w:rPr>
          <w:rFonts w:ascii="宋体" w:hAnsi="宋体" w:cs="宋体"/>
          <w:sz w:val="36"/>
          <w:szCs w:val="36"/>
        </w:rPr>
      </w:pPr>
    </w:p>
    <w:p>
      <w:pPr>
        <w:overflowPunct w:val="0"/>
        <w:topLinePunct/>
        <w:rPr>
          <w:rFonts w:ascii="宋体" w:hAnsi="宋体" w:cs="宋体"/>
        </w:rPr>
      </w:pPr>
    </w:p>
    <w:p>
      <w:pPr>
        <w:widowControl/>
        <w:overflowPunct w:val="0"/>
        <w:topLinePunct/>
        <w:jc w:val="left"/>
        <w:rPr>
          <w:rFonts w:ascii="宋体" w:hAnsi="宋体" w:cs="宋体"/>
          <w:b/>
          <w:sz w:val="32"/>
          <w:szCs w:val="32"/>
        </w:rPr>
      </w:pPr>
      <w:r>
        <w:rPr>
          <w:rFonts w:ascii="宋体" w:hAnsi="宋体" w:cs="宋体"/>
          <w:b/>
          <w:sz w:val="32"/>
          <w:szCs w:val="32"/>
        </w:rPr>
        <w:br w:type="page"/>
      </w:r>
    </w:p>
    <w:p>
      <w:pPr>
        <w:overflowPunct w:val="0"/>
        <w:topLinePunct/>
        <w:rPr>
          <w:rFonts w:ascii="宋体" w:hAnsi="宋体" w:cs="宋体"/>
          <w:b/>
          <w:sz w:val="30"/>
          <w:szCs w:val="30"/>
        </w:rPr>
      </w:pPr>
      <w:r>
        <w:rPr>
          <w:rFonts w:hint="eastAsia" w:ascii="宋体" w:hAnsi="宋体" w:cs="宋体"/>
          <w:b/>
          <w:sz w:val="30"/>
          <w:szCs w:val="30"/>
        </w:rPr>
        <w:t>格式3</w:t>
      </w:r>
    </w:p>
    <w:p>
      <w:pPr>
        <w:overflowPunct w:val="0"/>
        <w:topLinePunct/>
        <w:jc w:val="center"/>
        <w:rPr>
          <w:rFonts w:ascii="宋体" w:hAnsi="宋体" w:cs="宋体"/>
          <w:b/>
          <w:sz w:val="30"/>
          <w:szCs w:val="30"/>
        </w:rPr>
      </w:pPr>
    </w:p>
    <w:p>
      <w:pPr>
        <w:overflowPunct w:val="0"/>
        <w:topLinePunct/>
        <w:jc w:val="center"/>
        <w:rPr>
          <w:rFonts w:ascii="宋体" w:hAnsi="宋体" w:cs="宋体"/>
          <w:b/>
          <w:sz w:val="30"/>
          <w:szCs w:val="30"/>
        </w:rPr>
      </w:pPr>
      <w:r>
        <w:rPr>
          <w:rFonts w:hint="eastAsia" w:ascii="宋体" w:hAnsi="宋体" w:cs="宋体"/>
          <w:b/>
          <w:sz w:val="30"/>
          <w:szCs w:val="30"/>
        </w:rPr>
        <w:t>报价一览表</w:t>
      </w:r>
    </w:p>
    <w:tbl>
      <w:tblPr>
        <w:tblStyle w:val="12"/>
        <w:tblW w:w="9220" w:type="dxa"/>
        <w:tblInd w:w="93" w:type="dxa"/>
        <w:tblLayout w:type="fixed"/>
        <w:tblCellMar>
          <w:top w:w="0" w:type="dxa"/>
          <w:left w:w="108" w:type="dxa"/>
          <w:bottom w:w="0" w:type="dxa"/>
          <w:right w:w="108" w:type="dxa"/>
        </w:tblCellMar>
      </w:tblPr>
      <w:tblGrid>
        <w:gridCol w:w="819"/>
        <w:gridCol w:w="1354"/>
        <w:gridCol w:w="719"/>
        <w:gridCol w:w="2703"/>
        <w:gridCol w:w="3625"/>
      </w:tblGrid>
      <w:tr>
        <w:tblPrEx>
          <w:tblLayout w:type="fixed"/>
          <w:tblCellMar>
            <w:top w:w="0" w:type="dxa"/>
            <w:left w:w="108" w:type="dxa"/>
            <w:bottom w:w="0" w:type="dxa"/>
            <w:right w:w="108" w:type="dxa"/>
          </w:tblCellMar>
        </w:tblPrEx>
        <w:trPr>
          <w:trHeight w:val="984"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overflowPunct w:val="0"/>
              <w:topLinePunct/>
              <w:spacing w:line="360" w:lineRule="auto"/>
              <w:jc w:val="center"/>
              <w:rPr>
                <w:rFonts w:ascii="宋体" w:hAnsi="宋体" w:cs="宋体"/>
                <w:kern w:val="0"/>
                <w:sz w:val="24"/>
              </w:rPr>
            </w:pPr>
            <w:r>
              <w:rPr>
                <w:rFonts w:hint="eastAsia" w:ascii="宋体" w:hAnsi="宋体" w:cs="宋体"/>
                <w:kern w:val="0"/>
                <w:sz w:val="24"/>
              </w:rPr>
              <w:t>项目名称</w:t>
            </w:r>
          </w:p>
        </w:tc>
        <w:tc>
          <w:tcPr>
            <w:tcW w:w="6328" w:type="dxa"/>
            <w:gridSpan w:val="2"/>
            <w:tcBorders>
              <w:top w:val="single" w:color="auto" w:sz="4" w:space="0"/>
              <w:left w:val="nil"/>
              <w:bottom w:val="single" w:color="auto" w:sz="4" w:space="0"/>
              <w:right w:val="single" w:color="auto" w:sz="4" w:space="0"/>
            </w:tcBorders>
            <w:vAlign w:val="center"/>
          </w:tcPr>
          <w:p>
            <w:pPr>
              <w:widowControl/>
              <w:overflowPunct w:val="0"/>
              <w:topLinePunct/>
              <w:spacing w:line="360" w:lineRule="auto"/>
              <w:rPr>
                <w:rFonts w:ascii="宋体" w:hAnsi="宋体" w:cs="宋体"/>
                <w:kern w:val="0"/>
                <w:sz w:val="24"/>
              </w:rPr>
            </w:pPr>
          </w:p>
        </w:tc>
      </w:tr>
      <w:tr>
        <w:tblPrEx>
          <w:tblLayout w:type="fixed"/>
          <w:tblCellMar>
            <w:top w:w="0" w:type="dxa"/>
            <w:left w:w="108" w:type="dxa"/>
            <w:bottom w:w="0" w:type="dxa"/>
            <w:right w:w="108" w:type="dxa"/>
          </w:tblCellMar>
        </w:tblPrEx>
        <w:trPr>
          <w:trHeight w:val="960" w:hRule="atLeast"/>
        </w:trPr>
        <w:tc>
          <w:tcPr>
            <w:tcW w:w="819" w:type="dxa"/>
            <w:tcBorders>
              <w:top w:val="single" w:color="auto" w:sz="4" w:space="0"/>
              <w:left w:val="single" w:color="auto" w:sz="4" w:space="0"/>
              <w:bottom w:val="single" w:color="auto" w:sz="4" w:space="0"/>
              <w:right w:val="single" w:color="auto" w:sz="4" w:space="0"/>
            </w:tcBorders>
            <w:vAlign w:val="center"/>
          </w:tcPr>
          <w:p>
            <w:pPr>
              <w:widowControl/>
              <w:overflowPunct w:val="0"/>
              <w:topLinePunct/>
              <w:spacing w:line="360" w:lineRule="auto"/>
              <w:jc w:val="center"/>
              <w:rPr>
                <w:rFonts w:ascii="宋体" w:hAnsi="宋体" w:cs="宋体"/>
                <w:bCs/>
                <w:kern w:val="0"/>
                <w:sz w:val="24"/>
              </w:rPr>
            </w:pPr>
            <w:r>
              <w:rPr>
                <w:rFonts w:hint="eastAsia" w:ascii="宋体" w:hAnsi="宋体" w:cs="宋体"/>
                <w:bCs/>
                <w:kern w:val="0"/>
                <w:sz w:val="24"/>
              </w:rPr>
              <w:t>序号</w:t>
            </w:r>
          </w:p>
        </w:tc>
        <w:tc>
          <w:tcPr>
            <w:tcW w:w="4776" w:type="dxa"/>
            <w:gridSpan w:val="3"/>
            <w:tcBorders>
              <w:top w:val="single" w:color="auto" w:sz="4" w:space="0"/>
              <w:left w:val="nil"/>
              <w:bottom w:val="single" w:color="auto" w:sz="4" w:space="0"/>
              <w:right w:val="single" w:color="auto" w:sz="4" w:space="0"/>
            </w:tcBorders>
            <w:vAlign w:val="center"/>
          </w:tcPr>
          <w:p>
            <w:pPr>
              <w:overflowPunct w:val="0"/>
              <w:topLinePunct/>
              <w:spacing w:line="360" w:lineRule="auto"/>
              <w:jc w:val="center"/>
              <w:rPr>
                <w:rFonts w:ascii="宋体" w:hAnsi="宋体" w:cs="宋体"/>
                <w:bCs/>
                <w:kern w:val="0"/>
                <w:sz w:val="24"/>
              </w:rPr>
            </w:pPr>
            <w:r>
              <w:rPr>
                <w:rFonts w:hint="eastAsia" w:ascii="宋体" w:hAnsi="宋体" w:cs="宋体"/>
                <w:bCs/>
                <w:kern w:val="0"/>
                <w:sz w:val="24"/>
              </w:rPr>
              <w:t>服务内容</w:t>
            </w:r>
          </w:p>
        </w:tc>
        <w:tc>
          <w:tcPr>
            <w:tcW w:w="3625" w:type="dxa"/>
            <w:tcBorders>
              <w:top w:val="single" w:color="auto" w:sz="4" w:space="0"/>
              <w:left w:val="nil"/>
              <w:bottom w:val="single" w:color="auto" w:sz="4" w:space="0"/>
              <w:right w:val="single" w:color="auto" w:sz="4" w:space="0"/>
            </w:tcBorders>
            <w:vAlign w:val="center"/>
          </w:tcPr>
          <w:p>
            <w:pPr>
              <w:widowControl/>
              <w:overflowPunct w:val="0"/>
              <w:topLinePunct/>
              <w:spacing w:line="360" w:lineRule="auto"/>
              <w:jc w:val="center"/>
              <w:rPr>
                <w:rFonts w:ascii="宋体" w:hAnsi="宋体" w:cs="宋体"/>
                <w:bCs/>
                <w:kern w:val="0"/>
                <w:sz w:val="24"/>
              </w:rPr>
            </w:pPr>
            <w:r>
              <w:rPr>
                <w:rFonts w:hint="eastAsia" w:ascii="宋体" w:hAnsi="宋体" w:cs="宋体"/>
                <w:bCs/>
                <w:kern w:val="0"/>
                <w:sz w:val="24"/>
              </w:rPr>
              <w:t>报价（万元）</w:t>
            </w:r>
          </w:p>
        </w:tc>
      </w:tr>
      <w:tr>
        <w:tblPrEx>
          <w:tblLayout w:type="fixed"/>
          <w:tblCellMar>
            <w:top w:w="0" w:type="dxa"/>
            <w:left w:w="108" w:type="dxa"/>
            <w:bottom w:w="0" w:type="dxa"/>
            <w:right w:w="108" w:type="dxa"/>
          </w:tblCellMar>
        </w:tblPrEx>
        <w:trPr>
          <w:trHeight w:val="597" w:hRule="atLeast"/>
        </w:trPr>
        <w:tc>
          <w:tcPr>
            <w:tcW w:w="819" w:type="dxa"/>
            <w:tcBorders>
              <w:top w:val="nil"/>
              <w:left w:val="single" w:color="auto" w:sz="4" w:space="0"/>
              <w:bottom w:val="single" w:color="auto" w:sz="4" w:space="0"/>
              <w:right w:val="single" w:color="auto" w:sz="4" w:space="0"/>
            </w:tcBorders>
            <w:vAlign w:val="center"/>
          </w:tcPr>
          <w:p>
            <w:pPr>
              <w:widowControl/>
              <w:overflowPunct w:val="0"/>
              <w:topLinePunct/>
              <w:spacing w:line="360" w:lineRule="auto"/>
              <w:jc w:val="center"/>
              <w:rPr>
                <w:rFonts w:ascii="宋体" w:hAnsi="宋体" w:cs="宋体"/>
                <w:bCs/>
                <w:kern w:val="0"/>
                <w:sz w:val="24"/>
              </w:rPr>
            </w:pPr>
            <w:r>
              <w:rPr>
                <w:rFonts w:hint="eastAsia" w:ascii="宋体" w:hAnsi="宋体" w:cs="宋体"/>
                <w:bCs/>
                <w:kern w:val="0"/>
                <w:sz w:val="24"/>
              </w:rPr>
              <w:t>1</w:t>
            </w:r>
          </w:p>
        </w:tc>
        <w:tc>
          <w:tcPr>
            <w:tcW w:w="4776" w:type="dxa"/>
            <w:gridSpan w:val="3"/>
            <w:tcBorders>
              <w:top w:val="nil"/>
              <w:left w:val="nil"/>
              <w:bottom w:val="single" w:color="auto" w:sz="4" w:space="0"/>
              <w:right w:val="single" w:color="auto" w:sz="4" w:space="0"/>
            </w:tcBorders>
            <w:vAlign w:val="center"/>
          </w:tcPr>
          <w:p>
            <w:pPr>
              <w:overflowPunct w:val="0"/>
              <w:topLinePunct/>
              <w:spacing w:line="360" w:lineRule="auto"/>
              <w:jc w:val="center"/>
              <w:rPr>
                <w:rFonts w:ascii="宋体" w:hAnsi="宋体" w:cs="宋体"/>
                <w:bCs/>
                <w:kern w:val="0"/>
                <w:sz w:val="24"/>
              </w:rPr>
            </w:pPr>
          </w:p>
        </w:tc>
        <w:tc>
          <w:tcPr>
            <w:tcW w:w="3625" w:type="dxa"/>
            <w:tcBorders>
              <w:top w:val="nil"/>
              <w:left w:val="nil"/>
              <w:bottom w:val="single" w:color="auto" w:sz="4" w:space="0"/>
              <w:right w:val="single" w:color="auto" w:sz="4" w:space="0"/>
            </w:tcBorders>
            <w:vAlign w:val="center"/>
          </w:tcPr>
          <w:p>
            <w:pPr>
              <w:widowControl/>
              <w:overflowPunct w:val="0"/>
              <w:topLinePunct/>
              <w:spacing w:line="360" w:lineRule="auto"/>
              <w:jc w:val="center"/>
              <w:rPr>
                <w:rFonts w:ascii="宋体" w:hAnsi="宋体" w:cs="宋体"/>
                <w:bCs/>
                <w:kern w:val="0"/>
                <w:sz w:val="24"/>
              </w:rPr>
            </w:pPr>
          </w:p>
        </w:tc>
      </w:tr>
      <w:tr>
        <w:tblPrEx>
          <w:tblLayout w:type="fixed"/>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overflowPunct w:val="0"/>
              <w:topLinePunct/>
              <w:spacing w:line="360" w:lineRule="auto"/>
              <w:jc w:val="center"/>
              <w:rPr>
                <w:rFonts w:ascii="宋体" w:hAnsi="宋体" w:cs="宋体"/>
                <w:bCs/>
                <w:kern w:val="0"/>
                <w:sz w:val="24"/>
              </w:rPr>
            </w:pPr>
            <w:r>
              <w:rPr>
                <w:rFonts w:hint="eastAsia" w:ascii="宋体" w:hAnsi="宋体" w:cs="宋体"/>
                <w:bCs/>
                <w:kern w:val="0"/>
                <w:sz w:val="24"/>
              </w:rPr>
              <w:t>2</w:t>
            </w:r>
          </w:p>
        </w:tc>
        <w:tc>
          <w:tcPr>
            <w:tcW w:w="4776" w:type="dxa"/>
            <w:gridSpan w:val="3"/>
            <w:tcBorders>
              <w:top w:val="nil"/>
              <w:left w:val="nil"/>
              <w:bottom w:val="single" w:color="auto" w:sz="4" w:space="0"/>
              <w:right w:val="single" w:color="auto" w:sz="4" w:space="0"/>
            </w:tcBorders>
            <w:vAlign w:val="center"/>
          </w:tcPr>
          <w:p>
            <w:pPr>
              <w:overflowPunct w:val="0"/>
              <w:topLinePunct/>
              <w:spacing w:line="360" w:lineRule="auto"/>
              <w:jc w:val="center"/>
              <w:rPr>
                <w:rFonts w:ascii="宋体" w:hAnsi="宋体" w:cs="宋体"/>
                <w:bCs/>
                <w:kern w:val="0"/>
                <w:sz w:val="24"/>
              </w:rPr>
            </w:pPr>
          </w:p>
        </w:tc>
        <w:tc>
          <w:tcPr>
            <w:tcW w:w="3625" w:type="dxa"/>
            <w:tcBorders>
              <w:top w:val="nil"/>
              <w:left w:val="nil"/>
              <w:bottom w:val="single" w:color="auto" w:sz="4" w:space="0"/>
              <w:right w:val="single" w:color="auto" w:sz="4" w:space="0"/>
            </w:tcBorders>
            <w:vAlign w:val="center"/>
          </w:tcPr>
          <w:p>
            <w:pPr>
              <w:widowControl/>
              <w:overflowPunct w:val="0"/>
              <w:topLinePunct/>
              <w:spacing w:line="360" w:lineRule="auto"/>
              <w:jc w:val="center"/>
              <w:rPr>
                <w:rFonts w:ascii="宋体" w:hAnsi="宋体" w:cs="宋体"/>
                <w:bCs/>
                <w:kern w:val="0"/>
                <w:sz w:val="24"/>
              </w:rPr>
            </w:pPr>
          </w:p>
        </w:tc>
      </w:tr>
      <w:tr>
        <w:tblPrEx>
          <w:tblLayout w:type="fixed"/>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overflowPunct w:val="0"/>
              <w:topLinePunct/>
              <w:spacing w:line="360" w:lineRule="auto"/>
              <w:jc w:val="center"/>
              <w:rPr>
                <w:rFonts w:ascii="宋体" w:hAnsi="宋体" w:cs="宋体"/>
                <w:bCs/>
                <w:kern w:val="0"/>
                <w:sz w:val="24"/>
              </w:rPr>
            </w:pPr>
            <w:r>
              <w:rPr>
                <w:rFonts w:hint="eastAsia" w:ascii="宋体" w:hAnsi="宋体" w:cs="宋体"/>
                <w:bCs/>
                <w:kern w:val="0"/>
                <w:sz w:val="24"/>
              </w:rPr>
              <w:t>3</w:t>
            </w:r>
          </w:p>
        </w:tc>
        <w:tc>
          <w:tcPr>
            <w:tcW w:w="4776" w:type="dxa"/>
            <w:gridSpan w:val="3"/>
            <w:tcBorders>
              <w:top w:val="nil"/>
              <w:left w:val="nil"/>
              <w:bottom w:val="single" w:color="auto" w:sz="4" w:space="0"/>
              <w:right w:val="single" w:color="auto" w:sz="4" w:space="0"/>
            </w:tcBorders>
            <w:vAlign w:val="center"/>
          </w:tcPr>
          <w:p>
            <w:pPr>
              <w:overflowPunct w:val="0"/>
              <w:topLinePunct/>
              <w:spacing w:line="360" w:lineRule="auto"/>
              <w:jc w:val="center"/>
              <w:rPr>
                <w:rFonts w:ascii="宋体" w:hAnsi="宋体" w:cs="宋体"/>
                <w:bCs/>
                <w:kern w:val="0"/>
                <w:sz w:val="24"/>
              </w:rPr>
            </w:pPr>
          </w:p>
        </w:tc>
        <w:tc>
          <w:tcPr>
            <w:tcW w:w="3625" w:type="dxa"/>
            <w:tcBorders>
              <w:top w:val="nil"/>
              <w:left w:val="nil"/>
              <w:bottom w:val="single" w:color="auto" w:sz="4" w:space="0"/>
              <w:right w:val="single" w:color="auto" w:sz="4" w:space="0"/>
            </w:tcBorders>
            <w:vAlign w:val="center"/>
          </w:tcPr>
          <w:p>
            <w:pPr>
              <w:widowControl/>
              <w:overflowPunct w:val="0"/>
              <w:topLinePunct/>
              <w:spacing w:line="360" w:lineRule="auto"/>
              <w:jc w:val="center"/>
              <w:rPr>
                <w:rFonts w:ascii="宋体" w:hAnsi="宋体" w:cs="宋体"/>
                <w:bCs/>
                <w:kern w:val="0"/>
                <w:sz w:val="24"/>
              </w:rPr>
            </w:pPr>
          </w:p>
        </w:tc>
      </w:tr>
      <w:tr>
        <w:tblPrEx>
          <w:tblLayout w:type="fixed"/>
          <w:tblCellMar>
            <w:top w:w="0" w:type="dxa"/>
            <w:left w:w="108" w:type="dxa"/>
            <w:bottom w:w="0" w:type="dxa"/>
            <w:right w:w="108" w:type="dxa"/>
          </w:tblCellMar>
        </w:tblPrEx>
        <w:trPr>
          <w:trHeight w:val="885" w:hRule="atLeast"/>
        </w:trPr>
        <w:tc>
          <w:tcPr>
            <w:tcW w:w="5595" w:type="dxa"/>
            <w:gridSpan w:val="4"/>
            <w:tcBorders>
              <w:top w:val="single" w:color="auto" w:sz="4" w:space="0"/>
              <w:left w:val="single" w:color="auto" w:sz="4" w:space="0"/>
              <w:bottom w:val="single" w:color="auto" w:sz="4" w:space="0"/>
              <w:right w:val="single" w:color="auto" w:sz="4" w:space="0"/>
            </w:tcBorders>
            <w:vAlign w:val="center"/>
          </w:tcPr>
          <w:p>
            <w:pPr>
              <w:widowControl/>
              <w:overflowPunct w:val="0"/>
              <w:topLinePunct/>
              <w:spacing w:line="360" w:lineRule="auto"/>
              <w:jc w:val="center"/>
              <w:rPr>
                <w:rFonts w:ascii="宋体" w:hAnsi="宋体" w:cs="宋体"/>
                <w:kern w:val="0"/>
                <w:sz w:val="24"/>
              </w:rPr>
            </w:pPr>
            <w:r>
              <w:rPr>
                <w:rFonts w:hint="eastAsia" w:ascii="宋体" w:hAnsi="宋体" w:cs="宋体"/>
                <w:kern w:val="0"/>
                <w:sz w:val="24"/>
              </w:rPr>
              <w:t>合  计(万元)</w:t>
            </w:r>
          </w:p>
        </w:tc>
        <w:tc>
          <w:tcPr>
            <w:tcW w:w="3625" w:type="dxa"/>
            <w:tcBorders>
              <w:top w:val="single" w:color="auto" w:sz="4" w:space="0"/>
              <w:left w:val="single" w:color="auto" w:sz="4" w:space="0"/>
              <w:bottom w:val="single" w:color="auto" w:sz="4" w:space="0"/>
              <w:right w:val="single" w:color="auto" w:sz="4" w:space="0"/>
            </w:tcBorders>
            <w:vAlign w:val="center"/>
          </w:tcPr>
          <w:p>
            <w:pPr>
              <w:widowControl/>
              <w:overflowPunct w:val="0"/>
              <w:topLinePunct/>
              <w:spacing w:line="360" w:lineRule="auto"/>
              <w:rPr>
                <w:rFonts w:ascii="宋体" w:hAnsi="宋体" w:cs="宋体"/>
                <w:kern w:val="0"/>
                <w:sz w:val="24"/>
              </w:rPr>
            </w:pPr>
          </w:p>
        </w:tc>
      </w:tr>
      <w:tr>
        <w:tblPrEx>
          <w:tblLayout w:type="fixed"/>
          <w:tblCellMar>
            <w:top w:w="0" w:type="dxa"/>
            <w:left w:w="108" w:type="dxa"/>
            <w:bottom w:w="0" w:type="dxa"/>
            <w:right w:w="108" w:type="dxa"/>
          </w:tblCellMar>
        </w:tblPrEx>
        <w:trPr>
          <w:trHeight w:val="1271" w:hRule="atLeast"/>
        </w:trPr>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topLinePunct/>
              <w:spacing w:line="360" w:lineRule="auto"/>
              <w:jc w:val="center"/>
              <w:rPr>
                <w:rFonts w:ascii="宋体" w:hAnsi="宋体" w:cs="宋体"/>
                <w:kern w:val="0"/>
                <w:sz w:val="24"/>
              </w:rPr>
            </w:pPr>
            <w:r>
              <w:rPr>
                <w:rFonts w:hint="eastAsia" w:ascii="宋体" w:hAnsi="宋体" w:cs="宋体"/>
                <w:kern w:val="0"/>
                <w:sz w:val="24"/>
              </w:rPr>
              <w:t>总价</w:t>
            </w:r>
          </w:p>
        </w:tc>
        <w:tc>
          <w:tcPr>
            <w:tcW w:w="7047" w:type="dxa"/>
            <w:gridSpan w:val="3"/>
            <w:tcBorders>
              <w:top w:val="single" w:color="auto" w:sz="4" w:space="0"/>
              <w:left w:val="nil"/>
              <w:bottom w:val="single" w:color="auto" w:sz="4" w:space="0"/>
              <w:right w:val="single" w:color="auto" w:sz="4" w:space="0"/>
            </w:tcBorders>
            <w:vAlign w:val="center"/>
          </w:tcPr>
          <w:p>
            <w:pPr>
              <w:widowControl/>
              <w:overflowPunct w:val="0"/>
              <w:topLinePunct/>
              <w:spacing w:line="360" w:lineRule="auto"/>
              <w:rPr>
                <w:rFonts w:ascii="宋体" w:hAnsi="宋体" w:cs="宋体"/>
                <w:kern w:val="0"/>
                <w:sz w:val="24"/>
              </w:rPr>
            </w:pPr>
            <w:r>
              <w:rPr>
                <w:rFonts w:hint="eastAsia" w:ascii="宋体" w:hAnsi="宋体" w:cs="宋体"/>
                <w:kern w:val="0"/>
                <w:sz w:val="24"/>
              </w:rPr>
              <w:t>人民币大写：（人民币小写： ）</w:t>
            </w:r>
          </w:p>
        </w:tc>
      </w:tr>
    </w:tbl>
    <w:p>
      <w:pPr>
        <w:overflowPunct w:val="0"/>
        <w:topLinePunct/>
        <w:rPr>
          <w:rFonts w:ascii="宋体" w:hAnsi="宋体" w:cs="宋体"/>
          <w:sz w:val="32"/>
        </w:rPr>
      </w:pPr>
    </w:p>
    <w:p>
      <w:pPr>
        <w:overflowPunct w:val="0"/>
        <w:topLinePunct/>
        <w:adjustRightInd w:val="0"/>
        <w:spacing w:line="360" w:lineRule="auto"/>
        <w:ind w:firstLine="600" w:firstLineChars="250"/>
        <w:jc w:val="left"/>
        <w:rPr>
          <w:rFonts w:ascii="宋体" w:hAnsi="宋体" w:cs="宋体"/>
          <w:sz w:val="28"/>
          <w:szCs w:val="28"/>
        </w:rPr>
      </w:pPr>
      <w:r>
        <w:rPr>
          <w:rFonts w:hint="eastAsia" w:ascii="宋体" w:hAnsi="宋体" w:cs="宋体"/>
          <w:color w:val="000000"/>
          <w:sz w:val="24"/>
          <w:szCs w:val="24"/>
        </w:rPr>
        <w:t>供应商名称：（盖章）</w:t>
      </w:r>
    </w:p>
    <w:p>
      <w:pPr>
        <w:overflowPunct w:val="0"/>
        <w:topLinePunct/>
        <w:spacing w:line="360" w:lineRule="auto"/>
        <w:ind w:firstLine="616" w:firstLineChars="257"/>
        <w:rPr>
          <w:rFonts w:ascii="宋体" w:hAnsi="宋体" w:cs="宋体"/>
          <w:sz w:val="24"/>
          <w:szCs w:val="24"/>
        </w:rPr>
      </w:pPr>
      <w:r>
        <w:rPr>
          <w:rFonts w:hint="eastAsia" w:ascii="宋体" w:hAnsi="宋体" w:cs="宋体"/>
          <w:sz w:val="24"/>
          <w:szCs w:val="24"/>
        </w:rPr>
        <w:t>法定代表人授权代表（签字或盖章）</w:t>
      </w:r>
    </w:p>
    <w:p>
      <w:pPr>
        <w:overflowPunct w:val="0"/>
        <w:topLinePunct/>
        <w:spacing w:line="360" w:lineRule="auto"/>
        <w:ind w:firstLine="616" w:firstLineChars="257"/>
        <w:rPr>
          <w:rFonts w:ascii="宋体" w:hAnsi="宋体" w:cs="宋体"/>
          <w:sz w:val="24"/>
          <w:szCs w:val="24"/>
        </w:rPr>
      </w:pPr>
      <w:r>
        <w:rPr>
          <w:rFonts w:hint="eastAsia" w:ascii="宋体" w:hAnsi="宋体" w:cs="宋体"/>
          <w:sz w:val="24"/>
          <w:szCs w:val="24"/>
        </w:rPr>
        <w:t xml:space="preserve">日期： </w:t>
      </w:r>
    </w:p>
    <w:p>
      <w:pPr>
        <w:overflowPunct w:val="0"/>
        <w:topLinePunct/>
        <w:rPr>
          <w:rFonts w:ascii="宋体" w:hAnsi="宋体" w:cs="宋体"/>
          <w:b/>
          <w:bCs/>
          <w:sz w:val="36"/>
        </w:rPr>
      </w:pPr>
    </w:p>
    <w:p>
      <w:pPr>
        <w:overflowPunct w:val="0"/>
        <w:topLinePunct/>
        <w:rPr>
          <w:rFonts w:ascii="宋体" w:hAnsi="宋体" w:cs="宋体"/>
          <w:b/>
          <w:bCs/>
          <w:sz w:val="36"/>
        </w:rPr>
      </w:pPr>
    </w:p>
    <w:p>
      <w:pPr>
        <w:overflowPunct w:val="0"/>
        <w:topLinePunct/>
        <w:rPr>
          <w:rFonts w:ascii="宋体" w:hAnsi="宋体" w:cs="宋体"/>
          <w:b/>
          <w:bCs/>
          <w:sz w:val="36"/>
        </w:rPr>
      </w:pPr>
    </w:p>
    <w:p>
      <w:pPr>
        <w:overflowPunct w:val="0"/>
        <w:topLinePunct/>
        <w:rPr>
          <w:rFonts w:ascii="宋体" w:hAnsi="宋体" w:cs="宋体"/>
          <w:b/>
          <w:sz w:val="28"/>
        </w:rPr>
      </w:pPr>
    </w:p>
    <w:p>
      <w:pPr>
        <w:overflowPunct w:val="0"/>
        <w:topLinePunct/>
        <w:rPr>
          <w:rFonts w:ascii="宋体" w:hAnsi="宋体" w:cs="宋体"/>
          <w:b/>
          <w:sz w:val="28"/>
        </w:rPr>
      </w:pPr>
    </w:p>
    <w:p>
      <w:pPr>
        <w:overflowPunct w:val="0"/>
        <w:topLinePunct/>
        <w:rPr>
          <w:rFonts w:ascii="宋体" w:hAnsi="宋体" w:cs="宋体"/>
          <w:b/>
          <w:sz w:val="28"/>
        </w:rPr>
      </w:pPr>
    </w:p>
    <w:p>
      <w:pPr>
        <w:overflowPunct w:val="0"/>
        <w:topLinePunct/>
        <w:rPr>
          <w:rFonts w:ascii="宋体" w:hAnsi="宋体" w:cs="宋体"/>
          <w:b/>
          <w:sz w:val="30"/>
          <w:szCs w:val="30"/>
        </w:rPr>
      </w:pPr>
      <w:r>
        <w:rPr>
          <w:rFonts w:hint="eastAsia" w:ascii="宋体" w:hAnsi="宋体" w:cs="宋体"/>
          <w:b/>
          <w:sz w:val="30"/>
          <w:szCs w:val="30"/>
        </w:rPr>
        <w:t xml:space="preserve">格式4 </w:t>
      </w:r>
    </w:p>
    <w:p>
      <w:pPr>
        <w:overflowPunct w:val="0"/>
        <w:topLinePunct/>
        <w:jc w:val="center"/>
        <w:rPr>
          <w:rFonts w:ascii="宋体" w:hAnsi="宋体" w:cs="宋体"/>
          <w:b/>
          <w:sz w:val="30"/>
          <w:szCs w:val="30"/>
        </w:rPr>
      </w:pPr>
      <w:r>
        <w:rPr>
          <w:rFonts w:hint="eastAsia" w:ascii="宋体" w:hAnsi="宋体" w:cs="宋体"/>
          <w:b/>
          <w:sz w:val="30"/>
          <w:szCs w:val="30"/>
        </w:rPr>
        <w:t>承诺函</w:t>
      </w:r>
    </w:p>
    <w:p>
      <w:pPr>
        <w:overflowPunct w:val="0"/>
        <w:topLinePunct/>
        <w:spacing w:line="400" w:lineRule="exact"/>
        <w:rPr>
          <w:rFonts w:ascii="宋体" w:hAnsi="宋体" w:cs="宋体"/>
          <w:sz w:val="24"/>
          <w:szCs w:val="24"/>
        </w:rPr>
      </w:pPr>
      <w:r>
        <w:rPr>
          <w:rFonts w:hint="eastAsia" w:ascii="宋体" w:hAnsi="宋体" w:cs="宋体"/>
          <w:sz w:val="24"/>
          <w:szCs w:val="24"/>
        </w:rPr>
        <w:t>四川省应急管理厅：</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一、我公司作为参加本次磋商的供应商，郑重承诺具备以下条件（《政府采购法》第二十二条）：</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 xml:space="preserve">（一）具有独立承担民事责任的能力； </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 xml:space="preserve">（二）具有良好的商业信誉和健全的财务会计制度； </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 xml:space="preserve">（三）具有履行合同所必需的设备和专业技术能力； </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 xml:space="preserve">（四）有依法缴纳税收和社会保障资金的良好记录； </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（五）参加采购活动前三年内，在经营活动中没有重大违法记录；</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（六）法律、行政法规规定的其他条件。</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二、参加本次磋商采购活动，承诺不存在单位负责人为同一人或者存在直接控股、管理关系的不同供应商参与同一合同项下的政府采购活动的行为。</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三、参加本次磋商采购活动，承诺不存在2家以上的供应商在同一合同项下的采购项目中，同时委托同一个自然人、同一家庭的人员、同一单位的人员作为代理人的行为。</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四、我公司（单位）承诺没有失信行为记入各级人民政府财政部门诚信档案。</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五、我公司（单位）、现任法定代表人、主要负责人均无行贿犯罪记录。</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本公司（单位）对上述承诺的真实性负责。如有虚假，将依法承担相应责任。</w:t>
      </w:r>
    </w:p>
    <w:p>
      <w:pPr>
        <w:overflowPunct w:val="0"/>
        <w:topLinePunct/>
        <w:spacing w:line="360" w:lineRule="auto"/>
        <w:ind w:firstLine="200"/>
        <w:jc w:val="left"/>
        <w:rPr>
          <w:rFonts w:ascii="宋体" w:hAnsi="宋体" w:cs="宋体"/>
          <w:sz w:val="28"/>
        </w:rPr>
      </w:pPr>
    </w:p>
    <w:p>
      <w:pPr>
        <w:overflowPunct w:val="0"/>
        <w:topLinePunct/>
        <w:adjustRightIn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供应商名称：（盖章）</w:t>
      </w:r>
    </w:p>
    <w:p>
      <w:pPr>
        <w:overflowPunct w:val="0"/>
        <w:topLinePunct/>
        <w:adjustRightInd w:val="0"/>
        <w:spacing w:line="360" w:lineRule="auto"/>
        <w:ind w:firstLine="480" w:firstLineChars="200"/>
        <w:jc w:val="left"/>
        <w:rPr>
          <w:rFonts w:ascii="宋体" w:hAnsi="宋体" w:cs="宋体"/>
          <w:bCs/>
          <w:sz w:val="24"/>
          <w:szCs w:val="24"/>
        </w:rPr>
      </w:pPr>
      <w:r>
        <w:rPr>
          <w:rFonts w:hint="eastAsia" w:ascii="宋体" w:hAnsi="宋体" w:cs="宋体"/>
          <w:bCs/>
          <w:sz w:val="24"/>
          <w:szCs w:val="24"/>
        </w:rPr>
        <w:t>法定代表人或授权代表（签字或盖章）：</w:t>
      </w:r>
    </w:p>
    <w:p>
      <w:pPr>
        <w:overflowPunct w:val="0"/>
        <w:topLinePunct/>
        <w:adjustRightInd w:val="0"/>
        <w:spacing w:line="360" w:lineRule="auto"/>
        <w:ind w:firstLine="480" w:firstLineChars="200"/>
        <w:jc w:val="left"/>
        <w:rPr>
          <w:rFonts w:ascii="宋体" w:hAnsi="宋体" w:cs="宋体"/>
          <w:bCs/>
          <w:sz w:val="24"/>
          <w:szCs w:val="24"/>
        </w:rPr>
      </w:pPr>
      <w:r>
        <w:rPr>
          <w:rFonts w:hint="eastAsia" w:ascii="宋体" w:hAnsi="宋体" w:cs="宋体"/>
          <w:bCs/>
          <w:sz w:val="24"/>
          <w:szCs w:val="24"/>
        </w:rPr>
        <w:t>日期:</w:t>
      </w:r>
    </w:p>
    <w:p>
      <w:pPr>
        <w:overflowPunct w:val="0"/>
        <w:topLinePunct/>
        <w:spacing w:line="360" w:lineRule="auto"/>
        <w:ind w:firstLine="480" w:firstLineChars="200"/>
        <w:jc w:val="left"/>
        <w:rPr>
          <w:rFonts w:ascii="宋体" w:hAnsi="宋体" w:cs="宋体"/>
          <w:sz w:val="24"/>
          <w:szCs w:val="24"/>
        </w:rPr>
      </w:pPr>
      <w:bookmarkStart w:id="73" w:name="OLE_LINK1"/>
      <w:bookmarkStart w:id="74" w:name="OLE_LINK2"/>
      <w:r>
        <w:rPr>
          <w:rFonts w:hint="eastAsia" w:ascii="宋体" w:hAnsi="宋体" w:cs="宋体"/>
          <w:b/>
          <w:sz w:val="24"/>
          <w:szCs w:val="24"/>
        </w:rPr>
        <w:t>备注</w:t>
      </w:r>
      <w:r>
        <w:rPr>
          <w:rFonts w:hint="eastAsia" w:ascii="宋体" w:hAnsi="宋体" w:cs="宋体"/>
          <w:sz w:val="24"/>
          <w:szCs w:val="24"/>
        </w:rPr>
        <w:t>：1、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overflowPunct w:val="0"/>
        <w:topLinePunct/>
        <w:spacing w:line="360" w:lineRule="auto"/>
        <w:ind w:firstLine="480" w:firstLineChars="200"/>
        <w:jc w:val="left"/>
        <w:rPr>
          <w:rFonts w:ascii="宋体" w:hAnsi="宋体" w:cs="宋体"/>
          <w:sz w:val="24"/>
        </w:rPr>
      </w:pPr>
      <w:r>
        <w:rPr>
          <w:rFonts w:hint="eastAsia" w:ascii="宋体" w:hAnsi="宋体" w:cs="宋体"/>
          <w:sz w:val="24"/>
        </w:rPr>
        <w:t>2、重大违法记录中的较大数额罚款的具体金额标准，以四川省人民政府规定的行政处罚罚款听证标准金额2万元执行。</w:t>
      </w:r>
    </w:p>
    <w:p>
      <w:pPr>
        <w:overflowPunct w:val="0"/>
        <w:topLinePunct/>
        <w:jc w:val="left"/>
        <w:rPr>
          <w:rFonts w:ascii="宋体" w:hAnsi="宋体" w:cs="宋体"/>
          <w:sz w:val="24"/>
          <w:szCs w:val="24"/>
        </w:rPr>
      </w:pPr>
    </w:p>
    <w:bookmarkEnd w:id="73"/>
    <w:bookmarkEnd w:id="74"/>
    <w:p>
      <w:pPr>
        <w:overflowPunct w:val="0"/>
        <w:topLinePunct/>
        <w:rPr>
          <w:rFonts w:ascii="宋体" w:hAnsi="宋体" w:cs="宋体"/>
          <w:b/>
          <w:bCs/>
          <w:sz w:val="30"/>
          <w:szCs w:val="30"/>
        </w:rPr>
      </w:pPr>
      <w:r>
        <w:rPr>
          <w:rFonts w:hint="eastAsia" w:ascii="宋体" w:hAnsi="宋体" w:cs="宋体"/>
          <w:b/>
          <w:bCs/>
          <w:sz w:val="30"/>
          <w:szCs w:val="30"/>
        </w:rPr>
        <w:t>格式5</w:t>
      </w:r>
    </w:p>
    <w:p>
      <w:pPr>
        <w:overflowPunct w:val="0"/>
        <w:topLinePunct/>
        <w:spacing w:beforeLines="50" w:afterLines="50"/>
        <w:jc w:val="center"/>
        <w:rPr>
          <w:rFonts w:ascii="宋体" w:hAnsi="宋体" w:cs="宋体"/>
          <w:b/>
          <w:bCs/>
          <w:sz w:val="30"/>
          <w:szCs w:val="30"/>
        </w:rPr>
      </w:pPr>
      <w:r>
        <w:rPr>
          <w:rFonts w:hint="eastAsia" w:ascii="宋体" w:hAnsi="宋体" w:cs="宋体"/>
          <w:b/>
          <w:bCs/>
          <w:sz w:val="30"/>
          <w:szCs w:val="30"/>
        </w:rPr>
        <w:t>服务要求应答表</w:t>
      </w:r>
    </w:p>
    <w:tbl>
      <w:tblPr>
        <w:tblStyle w:val="12"/>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6" w:type="dxa"/>
            <w:vAlign w:val="center"/>
          </w:tcPr>
          <w:p>
            <w:pPr>
              <w:overflowPunct w:val="0"/>
              <w:topLinePunct/>
              <w:jc w:val="center"/>
              <w:rPr>
                <w:rFonts w:ascii="宋体" w:hAnsi="宋体" w:cs="宋体"/>
                <w:sz w:val="24"/>
                <w:szCs w:val="24"/>
              </w:rPr>
            </w:pPr>
            <w:r>
              <w:rPr>
                <w:rFonts w:hint="eastAsia" w:ascii="宋体" w:hAnsi="宋体" w:cs="宋体"/>
                <w:sz w:val="24"/>
                <w:szCs w:val="24"/>
              </w:rPr>
              <w:t>序号</w:t>
            </w:r>
          </w:p>
        </w:tc>
        <w:tc>
          <w:tcPr>
            <w:tcW w:w="2795" w:type="dxa"/>
            <w:vAlign w:val="center"/>
          </w:tcPr>
          <w:p>
            <w:pPr>
              <w:overflowPunct w:val="0"/>
              <w:topLinePunct/>
              <w:jc w:val="center"/>
              <w:rPr>
                <w:rFonts w:ascii="宋体" w:hAnsi="宋体" w:cs="宋体"/>
                <w:sz w:val="24"/>
                <w:szCs w:val="24"/>
              </w:rPr>
            </w:pPr>
            <w:r>
              <w:rPr>
                <w:rFonts w:hint="eastAsia" w:ascii="宋体" w:hAnsi="宋体" w:cs="宋体"/>
                <w:sz w:val="24"/>
                <w:szCs w:val="24"/>
              </w:rPr>
              <w:t>磋商文件要求</w:t>
            </w:r>
          </w:p>
        </w:tc>
        <w:tc>
          <w:tcPr>
            <w:tcW w:w="2795" w:type="dxa"/>
            <w:vAlign w:val="center"/>
          </w:tcPr>
          <w:p>
            <w:pPr>
              <w:overflowPunct w:val="0"/>
              <w:topLinePunct/>
              <w:jc w:val="center"/>
              <w:rPr>
                <w:rFonts w:ascii="宋体" w:hAnsi="宋体" w:cs="宋体"/>
                <w:sz w:val="24"/>
                <w:szCs w:val="24"/>
              </w:rPr>
            </w:pPr>
            <w:r>
              <w:rPr>
                <w:rFonts w:hint="eastAsia" w:ascii="宋体" w:hAnsi="宋体" w:cs="宋体"/>
                <w:sz w:val="24"/>
                <w:szCs w:val="24"/>
              </w:rPr>
              <w:t>响应文件响应</w:t>
            </w:r>
          </w:p>
        </w:tc>
        <w:tc>
          <w:tcPr>
            <w:tcW w:w="2795" w:type="dxa"/>
            <w:vAlign w:val="center"/>
          </w:tcPr>
          <w:p>
            <w:pPr>
              <w:overflowPunct w:val="0"/>
              <w:topLinePunct/>
              <w:jc w:val="center"/>
              <w:rPr>
                <w:rFonts w:ascii="宋体" w:hAnsi="宋体" w:cs="宋体"/>
                <w:sz w:val="24"/>
                <w:szCs w:val="24"/>
              </w:rPr>
            </w:pPr>
            <w:r>
              <w:rPr>
                <w:rFonts w:hint="eastAsia" w:ascii="宋体"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r>
    </w:tbl>
    <w:p>
      <w:pPr>
        <w:overflowPunct w:val="0"/>
        <w:topLinePunct/>
        <w:ind w:firstLine="480" w:firstLineChars="200"/>
        <w:rPr>
          <w:rFonts w:ascii="宋体" w:hAnsi="宋体" w:cs="宋体"/>
          <w:b/>
          <w:sz w:val="24"/>
          <w:szCs w:val="24"/>
        </w:rPr>
      </w:pPr>
    </w:p>
    <w:p>
      <w:pPr>
        <w:overflowPunct w:val="0"/>
        <w:topLinePunct/>
        <w:spacing w:line="360" w:lineRule="auto"/>
        <w:ind w:firstLine="480" w:firstLineChars="200"/>
        <w:rPr>
          <w:rFonts w:ascii="宋体" w:hAnsi="宋体" w:cs="宋体"/>
          <w:b/>
          <w:sz w:val="24"/>
          <w:szCs w:val="24"/>
        </w:rPr>
      </w:pPr>
      <w:r>
        <w:rPr>
          <w:rFonts w:hint="eastAsia" w:ascii="宋体" w:hAnsi="宋体" w:cs="宋体"/>
          <w:sz w:val="24"/>
          <w:szCs w:val="24"/>
        </w:rPr>
        <w:t>注意：供应商必须根据磋商文件要求据实逐条填写，不得虚假响应，否则报价无效并按规定追究其相关责任。</w:t>
      </w:r>
    </w:p>
    <w:p>
      <w:pPr>
        <w:overflowPunct w:val="0"/>
        <w:topLinePunct/>
        <w:adjustRightInd w:val="0"/>
        <w:spacing w:line="360" w:lineRule="auto"/>
        <w:ind w:firstLine="480" w:firstLineChars="200"/>
        <w:jc w:val="left"/>
        <w:rPr>
          <w:rFonts w:ascii="宋体" w:hAnsi="宋体" w:cs="宋体"/>
          <w:color w:val="000000"/>
          <w:sz w:val="24"/>
          <w:szCs w:val="24"/>
        </w:rPr>
      </w:pPr>
    </w:p>
    <w:p>
      <w:pPr>
        <w:overflowPunct w:val="0"/>
        <w:topLinePunct/>
        <w:adjustRightIn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供应商名称：（盖章）</w:t>
      </w:r>
    </w:p>
    <w:p>
      <w:pPr>
        <w:overflowPunct w:val="0"/>
        <w:topLinePunct/>
        <w:adjustRightInd w:val="0"/>
        <w:spacing w:line="360" w:lineRule="auto"/>
        <w:ind w:firstLine="480" w:firstLineChars="200"/>
        <w:jc w:val="left"/>
        <w:rPr>
          <w:rFonts w:ascii="宋体" w:hAnsi="宋体" w:cs="宋体"/>
          <w:bCs/>
          <w:sz w:val="24"/>
          <w:szCs w:val="24"/>
        </w:rPr>
      </w:pPr>
      <w:r>
        <w:rPr>
          <w:rFonts w:hint="eastAsia" w:ascii="宋体" w:hAnsi="宋体" w:cs="宋体"/>
          <w:bCs/>
          <w:sz w:val="24"/>
          <w:szCs w:val="24"/>
        </w:rPr>
        <w:t>法定代表人或授权代表（签字或盖章）：</w:t>
      </w:r>
    </w:p>
    <w:p>
      <w:pPr>
        <w:overflowPunct w:val="0"/>
        <w:topLinePunct/>
        <w:adjustRightInd w:val="0"/>
        <w:spacing w:line="360" w:lineRule="auto"/>
        <w:ind w:firstLine="480" w:firstLineChars="200"/>
        <w:jc w:val="left"/>
        <w:rPr>
          <w:rFonts w:ascii="宋体" w:hAnsi="宋体" w:cs="宋体"/>
          <w:bCs/>
          <w:sz w:val="24"/>
          <w:szCs w:val="24"/>
        </w:rPr>
      </w:pPr>
      <w:r>
        <w:rPr>
          <w:rFonts w:hint="eastAsia" w:ascii="宋体" w:hAnsi="宋体" w:cs="宋体"/>
          <w:bCs/>
          <w:sz w:val="24"/>
          <w:szCs w:val="24"/>
        </w:rPr>
        <w:t>日期:</w:t>
      </w:r>
    </w:p>
    <w:p>
      <w:pPr>
        <w:overflowPunct w:val="0"/>
        <w:topLinePunct/>
        <w:rPr>
          <w:rFonts w:ascii="宋体" w:hAnsi="宋体" w:cs="宋体"/>
        </w:rPr>
      </w:pPr>
    </w:p>
    <w:p>
      <w:pPr>
        <w:overflowPunct w:val="0"/>
        <w:topLinePunct/>
        <w:rPr>
          <w:rFonts w:ascii="宋体" w:hAnsi="宋体" w:cs="宋体"/>
        </w:rPr>
      </w:pPr>
    </w:p>
    <w:p>
      <w:pPr>
        <w:pStyle w:val="6"/>
        <w:tabs>
          <w:tab w:val="left" w:pos="0"/>
        </w:tabs>
        <w:overflowPunct w:val="0"/>
        <w:topLinePunct/>
        <w:ind w:firstLine="0"/>
        <w:rPr>
          <w:rFonts w:ascii="宋体" w:hAnsi="宋体" w:cs="宋体"/>
        </w:rPr>
      </w:pPr>
    </w:p>
    <w:p>
      <w:pPr>
        <w:pStyle w:val="6"/>
        <w:tabs>
          <w:tab w:val="left" w:pos="0"/>
        </w:tabs>
        <w:overflowPunct w:val="0"/>
        <w:topLinePunct/>
        <w:ind w:firstLine="0"/>
        <w:rPr>
          <w:rFonts w:ascii="宋体" w:hAnsi="宋体" w:cs="宋体"/>
        </w:rPr>
      </w:pPr>
    </w:p>
    <w:p>
      <w:pPr>
        <w:pStyle w:val="6"/>
        <w:tabs>
          <w:tab w:val="left" w:pos="0"/>
        </w:tabs>
        <w:overflowPunct w:val="0"/>
        <w:topLinePunct/>
        <w:ind w:firstLine="0"/>
        <w:rPr>
          <w:rFonts w:ascii="宋体" w:hAnsi="宋体" w:cs="宋体"/>
        </w:rPr>
      </w:pPr>
    </w:p>
    <w:p>
      <w:pPr>
        <w:widowControl/>
        <w:overflowPunct w:val="0"/>
        <w:topLinePunct/>
        <w:jc w:val="left"/>
        <w:rPr>
          <w:rFonts w:ascii="宋体" w:hAnsi="宋体" w:cs="宋体"/>
          <w:sz w:val="32"/>
        </w:rPr>
      </w:pPr>
      <w:r>
        <w:rPr>
          <w:rFonts w:ascii="宋体" w:hAnsi="宋体" w:cs="宋体"/>
        </w:rPr>
        <w:br w:type="page"/>
      </w:r>
    </w:p>
    <w:p>
      <w:pPr>
        <w:overflowPunct w:val="0"/>
        <w:topLinePunct/>
        <w:rPr>
          <w:rFonts w:ascii="宋体" w:hAnsi="宋体" w:cs="宋体"/>
          <w:b/>
          <w:bCs/>
          <w:sz w:val="30"/>
          <w:szCs w:val="30"/>
        </w:rPr>
      </w:pPr>
      <w:r>
        <w:rPr>
          <w:rFonts w:hint="eastAsia" w:ascii="宋体" w:hAnsi="宋体" w:cs="宋体"/>
          <w:b/>
          <w:bCs/>
          <w:sz w:val="30"/>
          <w:szCs w:val="30"/>
        </w:rPr>
        <w:t>格式6</w:t>
      </w:r>
    </w:p>
    <w:p>
      <w:pPr>
        <w:pStyle w:val="6"/>
        <w:tabs>
          <w:tab w:val="left" w:pos="0"/>
        </w:tabs>
        <w:overflowPunct w:val="0"/>
        <w:topLinePunct/>
        <w:ind w:firstLine="0"/>
        <w:jc w:val="center"/>
        <w:rPr>
          <w:rFonts w:ascii="宋体" w:hAnsi="宋体" w:cs="宋体"/>
          <w:b/>
          <w:sz w:val="30"/>
          <w:szCs w:val="30"/>
        </w:rPr>
      </w:pPr>
      <w:r>
        <w:rPr>
          <w:rFonts w:hint="eastAsia" w:ascii="宋体" w:hAnsi="宋体" w:cs="宋体"/>
          <w:b/>
          <w:sz w:val="30"/>
          <w:szCs w:val="30"/>
        </w:rPr>
        <w:t>商务条款偏离表</w:t>
      </w:r>
    </w:p>
    <w:p>
      <w:pPr>
        <w:pStyle w:val="9"/>
        <w:pBdr>
          <w:bottom w:val="none" w:color="auto" w:sz="0" w:space="0"/>
        </w:pBdr>
        <w:tabs>
          <w:tab w:val="clear" w:pos="4153"/>
          <w:tab w:val="clear" w:pos="8306"/>
        </w:tabs>
        <w:overflowPunct w:val="0"/>
        <w:topLinePunct/>
        <w:snapToGrid/>
        <w:jc w:val="both"/>
        <w:rPr>
          <w:rFonts w:ascii="宋体" w:hAnsi="宋体" w:cs="宋体"/>
          <w:sz w:val="24"/>
          <w:szCs w:val="24"/>
        </w:rPr>
      </w:pPr>
    </w:p>
    <w:tbl>
      <w:tblPr>
        <w:tblStyle w:val="12"/>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6" w:type="dxa"/>
            <w:vAlign w:val="center"/>
          </w:tcPr>
          <w:p>
            <w:pPr>
              <w:overflowPunct w:val="0"/>
              <w:topLinePunct/>
              <w:jc w:val="center"/>
              <w:rPr>
                <w:rFonts w:ascii="宋体" w:hAnsi="宋体" w:cs="宋体"/>
                <w:sz w:val="24"/>
                <w:szCs w:val="24"/>
              </w:rPr>
            </w:pPr>
            <w:r>
              <w:rPr>
                <w:rFonts w:hint="eastAsia" w:ascii="宋体" w:hAnsi="宋体" w:cs="宋体"/>
                <w:sz w:val="24"/>
                <w:szCs w:val="24"/>
              </w:rPr>
              <w:t>序号</w:t>
            </w:r>
          </w:p>
        </w:tc>
        <w:tc>
          <w:tcPr>
            <w:tcW w:w="2795" w:type="dxa"/>
            <w:vAlign w:val="center"/>
          </w:tcPr>
          <w:p>
            <w:pPr>
              <w:overflowPunct w:val="0"/>
              <w:topLinePunct/>
              <w:jc w:val="center"/>
              <w:rPr>
                <w:rFonts w:ascii="宋体" w:hAnsi="宋体" w:cs="宋体"/>
                <w:sz w:val="24"/>
                <w:szCs w:val="24"/>
              </w:rPr>
            </w:pPr>
            <w:r>
              <w:rPr>
                <w:rFonts w:hint="eastAsia" w:ascii="宋体" w:hAnsi="宋体" w:cs="宋体"/>
                <w:sz w:val="24"/>
                <w:szCs w:val="24"/>
              </w:rPr>
              <w:t>磋商文件要求</w:t>
            </w:r>
          </w:p>
        </w:tc>
        <w:tc>
          <w:tcPr>
            <w:tcW w:w="2795" w:type="dxa"/>
            <w:vAlign w:val="center"/>
          </w:tcPr>
          <w:p>
            <w:pPr>
              <w:overflowPunct w:val="0"/>
              <w:topLinePunct/>
              <w:jc w:val="center"/>
              <w:rPr>
                <w:rFonts w:ascii="宋体" w:hAnsi="宋体" w:cs="宋体"/>
                <w:sz w:val="24"/>
                <w:szCs w:val="24"/>
              </w:rPr>
            </w:pPr>
            <w:r>
              <w:rPr>
                <w:rFonts w:hint="eastAsia" w:ascii="宋体" w:hAnsi="宋体" w:cs="宋体"/>
                <w:sz w:val="24"/>
                <w:szCs w:val="24"/>
              </w:rPr>
              <w:t>响应文件响应</w:t>
            </w:r>
          </w:p>
        </w:tc>
        <w:tc>
          <w:tcPr>
            <w:tcW w:w="2795" w:type="dxa"/>
            <w:vAlign w:val="center"/>
          </w:tcPr>
          <w:p>
            <w:pPr>
              <w:overflowPunct w:val="0"/>
              <w:topLinePunct/>
              <w:jc w:val="center"/>
              <w:rPr>
                <w:rFonts w:ascii="宋体" w:hAnsi="宋体" w:cs="宋体"/>
                <w:sz w:val="24"/>
                <w:szCs w:val="24"/>
              </w:rPr>
            </w:pPr>
            <w:r>
              <w:rPr>
                <w:rFonts w:hint="eastAsia" w:ascii="宋体"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c>
          <w:tcPr>
            <w:tcW w:w="2795" w:type="dxa"/>
          </w:tcPr>
          <w:p>
            <w:pPr>
              <w:overflowPunct w:val="0"/>
              <w:topLinePunct/>
              <w:jc w:val="center"/>
              <w:rPr>
                <w:rFonts w:ascii="宋体" w:hAnsi="宋体" w:cs="宋体"/>
                <w:sz w:val="24"/>
                <w:szCs w:val="24"/>
              </w:rPr>
            </w:pPr>
          </w:p>
        </w:tc>
      </w:tr>
    </w:tbl>
    <w:p>
      <w:pPr>
        <w:overflowPunct w:val="0"/>
        <w:topLinePunct/>
        <w:ind w:firstLine="480" w:firstLineChars="200"/>
        <w:rPr>
          <w:rFonts w:ascii="宋体" w:hAnsi="宋体" w:cs="宋体"/>
          <w:b/>
          <w:sz w:val="24"/>
          <w:szCs w:val="24"/>
        </w:rPr>
      </w:pP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注意：1.本表只填写报价文件中与磋商文件要求有偏离（包括正偏离及负偏离）的内容，报价文件中与磋商文件要求完全一致的内容，不用在此表中逐一列出；</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2．报价文件中与磋商文件要求有负偏离的内容必须在此表中列出，否则视为无效报价。供应商必须据实填写，不得虚假响应，否则报价无效并按规定追究其相关责任。</w:t>
      </w:r>
    </w:p>
    <w:p>
      <w:pPr>
        <w:overflowPunct w:val="0"/>
        <w:topLinePunct/>
        <w:spacing w:line="360" w:lineRule="auto"/>
        <w:ind w:firstLine="480" w:firstLineChars="200"/>
        <w:rPr>
          <w:rFonts w:ascii="宋体" w:hAnsi="宋体" w:cs="宋体"/>
          <w:b/>
          <w:sz w:val="24"/>
          <w:szCs w:val="24"/>
        </w:rPr>
      </w:pPr>
    </w:p>
    <w:p>
      <w:pPr>
        <w:overflowPunct w:val="0"/>
        <w:topLinePunct/>
        <w:adjustRightIn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供应商名称：（盖章）</w:t>
      </w:r>
    </w:p>
    <w:p>
      <w:pPr>
        <w:overflowPunct w:val="0"/>
        <w:topLinePunct/>
        <w:adjustRightInd w:val="0"/>
        <w:spacing w:line="360" w:lineRule="auto"/>
        <w:ind w:firstLine="480" w:firstLineChars="200"/>
        <w:jc w:val="left"/>
        <w:rPr>
          <w:rFonts w:ascii="宋体" w:hAnsi="宋体" w:cs="宋体"/>
          <w:bCs/>
          <w:sz w:val="24"/>
          <w:szCs w:val="24"/>
        </w:rPr>
      </w:pPr>
      <w:r>
        <w:rPr>
          <w:rFonts w:hint="eastAsia" w:ascii="宋体" w:hAnsi="宋体" w:cs="宋体"/>
          <w:bCs/>
          <w:sz w:val="24"/>
          <w:szCs w:val="24"/>
        </w:rPr>
        <w:t>法定代表人或授权代表（签字或盖章）：</w:t>
      </w:r>
    </w:p>
    <w:p>
      <w:pPr>
        <w:overflowPunct w:val="0"/>
        <w:topLinePunct/>
        <w:adjustRightInd w:val="0"/>
        <w:spacing w:line="360" w:lineRule="auto"/>
        <w:ind w:firstLine="480" w:firstLineChars="200"/>
        <w:jc w:val="left"/>
        <w:rPr>
          <w:rFonts w:ascii="宋体" w:hAnsi="宋体" w:cs="宋体"/>
          <w:bCs/>
          <w:sz w:val="24"/>
          <w:szCs w:val="24"/>
        </w:rPr>
      </w:pPr>
      <w:r>
        <w:rPr>
          <w:rFonts w:hint="eastAsia" w:ascii="宋体" w:hAnsi="宋体" w:cs="宋体"/>
          <w:bCs/>
          <w:sz w:val="24"/>
          <w:szCs w:val="24"/>
        </w:rPr>
        <w:t>日期:</w:t>
      </w:r>
    </w:p>
    <w:p>
      <w:pPr>
        <w:pStyle w:val="6"/>
        <w:tabs>
          <w:tab w:val="left" w:pos="0"/>
        </w:tabs>
        <w:overflowPunct w:val="0"/>
        <w:topLinePunct/>
        <w:ind w:firstLine="0"/>
        <w:jc w:val="center"/>
        <w:rPr>
          <w:rFonts w:ascii="宋体" w:hAnsi="宋体" w:cs="宋体"/>
        </w:rPr>
      </w:pPr>
    </w:p>
    <w:p>
      <w:pPr>
        <w:pStyle w:val="6"/>
        <w:tabs>
          <w:tab w:val="left" w:pos="0"/>
        </w:tabs>
        <w:overflowPunct w:val="0"/>
        <w:topLinePunct/>
        <w:ind w:firstLine="0"/>
        <w:jc w:val="center"/>
        <w:rPr>
          <w:rFonts w:ascii="宋体" w:hAnsi="宋体" w:cs="宋体"/>
        </w:rPr>
      </w:pPr>
    </w:p>
    <w:p>
      <w:pPr>
        <w:pStyle w:val="6"/>
        <w:tabs>
          <w:tab w:val="left" w:pos="0"/>
        </w:tabs>
        <w:overflowPunct w:val="0"/>
        <w:topLinePunct/>
        <w:ind w:firstLine="0"/>
        <w:jc w:val="center"/>
        <w:rPr>
          <w:rFonts w:ascii="宋体" w:hAnsi="宋体" w:cs="宋体"/>
        </w:rPr>
      </w:pPr>
    </w:p>
    <w:p>
      <w:pPr>
        <w:pStyle w:val="6"/>
        <w:tabs>
          <w:tab w:val="left" w:pos="0"/>
        </w:tabs>
        <w:overflowPunct w:val="0"/>
        <w:topLinePunct/>
        <w:ind w:firstLine="0"/>
        <w:jc w:val="center"/>
        <w:rPr>
          <w:rFonts w:ascii="宋体" w:hAnsi="宋体" w:cs="宋体"/>
        </w:rPr>
      </w:pPr>
    </w:p>
    <w:p>
      <w:pPr>
        <w:pStyle w:val="6"/>
        <w:tabs>
          <w:tab w:val="left" w:pos="0"/>
        </w:tabs>
        <w:overflowPunct w:val="0"/>
        <w:topLinePunct/>
        <w:ind w:firstLine="0"/>
        <w:jc w:val="center"/>
        <w:rPr>
          <w:rFonts w:ascii="宋体" w:hAnsi="宋体" w:cs="宋体"/>
        </w:rPr>
      </w:pPr>
    </w:p>
    <w:p>
      <w:pPr>
        <w:overflowPunct w:val="0"/>
        <w:topLinePunct/>
        <w:rPr>
          <w:rFonts w:ascii="宋体" w:hAnsi="宋体" w:cs="宋体"/>
          <w:b/>
          <w:bCs/>
          <w:kern w:val="0"/>
          <w:sz w:val="30"/>
          <w:szCs w:val="30"/>
        </w:rPr>
      </w:pPr>
      <w:bookmarkStart w:id="75" w:name="_Toc217446089"/>
      <w:r>
        <w:rPr>
          <w:rFonts w:hint="eastAsia" w:ascii="宋体" w:hAnsi="宋体" w:cs="宋体"/>
          <w:b/>
          <w:bCs/>
          <w:kern w:val="0"/>
          <w:sz w:val="30"/>
          <w:szCs w:val="30"/>
        </w:rPr>
        <w:t>格式7</w:t>
      </w:r>
    </w:p>
    <w:p>
      <w:pPr>
        <w:overflowPunct w:val="0"/>
        <w:topLinePunct/>
        <w:spacing w:beforeLines="50" w:afterLines="50"/>
        <w:jc w:val="center"/>
        <w:rPr>
          <w:rFonts w:ascii="宋体" w:hAnsi="宋体" w:cs="宋体"/>
          <w:b/>
          <w:bCs/>
          <w:color w:val="000000"/>
          <w:sz w:val="30"/>
          <w:szCs w:val="30"/>
        </w:rPr>
      </w:pPr>
      <w:r>
        <w:rPr>
          <w:rFonts w:hint="eastAsia" w:ascii="宋体" w:hAnsi="宋体" w:cs="宋体"/>
          <w:b/>
          <w:bCs/>
          <w:color w:val="000000"/>
          <w:sz w:val="30"/>
          <w:szCs w:val="30"/>
        </w:rPr>
        <w:t>项目业绩一览表</w:t>
      </w:r>
      <w:bookmarkEnd w:id="75"/>
    </w:p>
    <w:tbl>
      <w:tblPr>
        <w:tblStyle w:val="12"/>
        <w:tblW w:w="723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69"/>
        <w:gridCol w:w="1391"/>
        <w:gridCol w:w="1320"/>
        <w:gridCol w:w="1161"/>
        <w:gridCol w:w="1798"/>
        <w:gridCol w:w="7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tcBorders>
              <w:top w:val="single" w:color="auto" w:sz="4" w:space="0"/>
            </w:tcBorders>
            <w:vAlign w:val="center"/>
          </w:tcPr>
          <w:p>
            <w:pPr>
              <w:overflowPunct w:val="0"/>
              <w:topLinePunct/>
              <w:spacing w:line="400" w:lineRule="exact"/>
              <w:ind w:firstLine="120" w:firstLineChars="50"/>
              <w:rPr>
                <w:rFonts w:ascii="宋体" w:hAnsi="宋体" w:cs="宋体"/>
                <w:sz w:val="24"/>
                <w:szCs w:val="24"/>
              </w:rPr>
            </w:pPr>
            <w:r>
              <w:rPr>
                <w:rFonts w:hint="eastAsia" w:ascii="宋体" w:hAnsi="宋体" w:cs="宋体"/>
                <w:sz w:val="24"/>
                <w:szCs w:val="24"/>
              </w:rPr>
              <w:t>年份</w:t>
            </w:r>
          </w:p>
        </w:tc>
        <w:tc>
          <w:tcPr>
            <w:tcW w:w="1391" w:type="dxa"/>
            <w:vAlign w:val="center"/>
          </w:tcPr>
          <w:p>
            <w:pPr>
              <w:overflowPunct w:val="0"/>
              <w:topLinePunct/>
              <w:spacing w:line="400" w:lineRule="exact"/>
              <w:jc w:val="center"/>
              <w:rPr>
                <w:rFonts w:ascii="宋体" w:hAnsi="宋体" w:cs="宋体"/>
                <w:sz w:val="24"/>
                <w:szCs w:val="24"/>
              </w:rPr>
            </w:pPr>
            <w:r>
              <w:rPr>
                <w:rFonts w:hint="eastAsia" w:ascii="宋体" w:hAnsi="宋体" w:cs="宋体"/>
                <w:sz w:val="24"/>
                <w:szCs w:val="24"/>
              </w:rPr>
              <w:t>用户名称</w:t>
            </w:r>
          </w:p>
        </w:tc>
        <w:tc>
          <w:tcPr>
            <w:tcW w:w="1320" w:type="dxa"/>
            <w:vAlign w:val="center"/>
          </w:tcPr>
          <w:p>
            <w:pPr>
              <w:overflowPunct w:val="0"/>
              <w:topLinePunct/>
              <w:spacing w:line="400" w:lineRule="exact"/>
              <w:jc w:val="center"/>
              <w:rPr>
                <w:rFonts w:ascii="宋体" w:hAnsi="宋体" w:cs="宋体"/>
                <w:sz w:val="24"/>
                <w:szCs w:val="24"/>
              </w:rPr>
            </w:pPr>
            <w:r>
              <w:rPr>
                <w:rFonts w:hint="eastAsia" w:ascii="宋体" w:hAnsi="宋体" w:cs="宋体"/>
                <w:sz w:val="24"/>
                <w:szCs w:val="24"/>
              </w:rPr>
              <w:t>项目名称</w:t>
            </w:r>
          </w:p>
        </w:tc>
        <w:tc>
          <w:tcPr>
            <w:tcW w:w="1161" w:type="dxa"/>
            <w:vAlign w:val="center"/>
          </w:tcPr>
          <w:p>
            <w:pPr>
              <w:overflowPunct w:val="0"/>
              <w:topLinePunct/>
              <w:spacing w:line="400" w:lineRule="exact"/>
              <w:jc w:val="center"/>
              <w:rPr>
                <w:rFonts w:ascii="宋体" w:hAnsi="宋体" w:cs="宋体"/>
                <w:sz w:val="24"/>
                <w:szCs w:val="24"/>
              </w:rPr>
            </w:pPr>
            <w:r>
              <w:rPr>
                <w:rFonts w:hint="eastAsia" w:ascii="宋体" w:hAnsi="宋体" w:cs="宋体"/>
                <w:sz w:val="24"/>
                <w:szCs w:val="24"/>
              </w:rPr>
              <w:t>完成时间</w:t>
            </w:r>
          </w:p>
        </w:tc>
        <w:tc>
          <w:tcPr>
            <w:tcW w:w="1798" w:type="dxa"/>
            <w:tcBorders>
              <w:right w:val="single" w:color="auto" w:sz="4" w:space="0"/>
            </w:tcBorders>
            <w:vAlign w:val="center"/>
          </w:tcPr>
          <w:p>
            <w:pPr>
              <w:overflowPunct w:val="0"/>
              <w:topLinePunct/>
              <w:spacing w:line="400" w:lineRule="exact"/>
              <w:jc w:val="center"/>
              <w:rPr>
                <w:rFonts w:ascii="宋体" w:hAnsi="宋体" w:cs="宋体"/>
                <w:sz w:val="24"/>
                <w:szCs w:val="24"/>
              </w:rPr>
            </w:pPr>
            <w:r>
              <w:rPr>
                <w:rFonts w:hint="eastAsia" w:ascii="宋体" w:hAnsi="宋体" w:cs="宋体"/>
                <w:sz w:val="24"/>
                <w:szCs w:val="24"/>
              </w:rPr>
              <w:t>完成项目质量</w:t>
            </w:r>
          </w:p>
        </w:tc>
        <w:tc>
          <w:tcPr>
            <w:tcW w:w="793" w:type="dxa"/>
            <w:tcBorders>
              <w:left w:val="single" w:color="auto" w:sz="4" w:space="0"/>
            </w:tcBorders>
            <w:vAlign w:val="center"/>
          </w:tcPr>
          <w:p>
            <w:pPr>
              <w:overflowPunct w:val="0"/>
              <w:topLinePunct/>
              <w:spacing w:line="400" w:lineRule="exact"/>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vAlign w:val="center"/>
          </w:tcPr>
          <w:p>
            <w:pPr>
              <w:overflowPunct w:val="0"/>
              <w:topLinePunct/>
              <w:spacing w:line="400" w:lineRule="exact"/>
              <w:jc w:val="center"/>
              <w:rPr>
                <w:rFonts w:ascii="宋体" w:hAnsi="宋体" w:cs="宋体"/>
                <w:color w:val="000000"/>
              </w:rPr>
            </w:pPr>
          </w:p>
        </w:tc>
        <w:tc>
          <w:tcPr>
            <w:tcW w:w="1391" w:type="dxa"/>
            <w:vAlign w:val="center"/>
          </w:tcPr>
          <w:p>
            <w:pPr>
              <w:overflowPunct w:val="0"/>
              <w:topLinePunct/>
              <w:spacing w:line="400" w:lineRule="exact"/>
              <w:jc w:val="center"/>
              <w:rPr>
                <w:rFonts w:ascii="宋体" w:hAnsi="宋体" w:cs="宋体"/>
                <w:color w:val="000000"/>
              </w:rPr>
            </w:pPr>
          </w:p>
        </w:tc>
        <w:tc>
          <w:tcPr>
            <w:tcW w:w="1320" w:type="dxa"/>
            <w:vAlign w:val="center"/>
          </w:tcPr>
          <w:p>
            <w:pPr>
              <w:overflowPunct w:val="0"/>
              <w:topLinePunct/>
              <w:spacing w:line="400" w:lineRule="exact"/>
              <w:jc w:val="center"/>
              <w:rPr>
                <w:rFonts w:ascii="宋体" w:hAnsi="宋体" w:cs="宋体"/>
                <w:color w:val="000000"/>
              </w:rPr>
            </w:pPr>
          </w:p>
        </w:tc>
        <w:tc>
          <w:tcPr>
            <w:tcW w:w="1161" w:type="dxa"/>
            <w:vAlign w:val="center"/>
          </w:tcPr>
          <w:p>
            <w:pPr>
              <w:overflowPunct w:val="0"/>
              <w:topLinePunct/>
              <w:spacing w:line="400" w:lineRule="exact"/>
              <w:jc w:val="center"/>
              <w:rPr>
                <w:rFonts w:ascii="宋体" w:hAnsi="宋体" w:cs="宋体"/>
                <w:color w:val="000000"/>
              </w:rPr>
            </w:pPr>
          </w:p>
        </w:tc>
        <w:tc>
          <w:tcPr>
            <w:tcW w:w="1798" w:type="dxa"/>
            <w:tcBorders>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left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vAlign w:val="center"/>
          </w:tcPr>
          <w:p>
            <w:pPr>
              <w:overflowPunct w:val="0"/>
              <w:topLinePunct/>
              <w:spacing w:line="400" w:lineRule="exact"/>
              <w:jc w:val="center"/>
              <w:rPr>
                <w:rFonts w:ascii="宋体" w:hAnsi="宋体" w:cs="宋体"/>
                <w:color w:val="000000"/>
              </w:rPr>
            </w:pPr>
          </w:p>
        </w:tc>
        <w:tc>
          <w:tcPr>
            <w:tcW w:w="1391" w:type="dxa"/>
            <w:vAlign w:val="center"/>
          </w:tcPr>
          <w:p>
            <w:pPr>
              <w:overflowPunct w:val="0"/>
              <w:topLinePunct/>
              <w:spacing w:line="400" w:lineRule="exact"/>
              <w:jc w:val="center"/>
              <w:rPr>
                <w:rFonts w:ascii="宋体" w:hAnsi="宋体" w:cs="宋体"/>
                <w:color w:val="000000"/>
              </w:rPr>
            </w:pPr>
          </w:p>
        </w:tc>
        <w:tc>
          <w:tcPr>
            <w:tcW w:w="1320" w:type="dxa"/>
            <w:vAlign w:val="center"/>
          </w:tcPr>
          <w:p>
            <w:pPr>
              <w:overflowPunct w:val="0"/>
              <w:topLinePunct/>
              <w:spacing w:line="400" w:lineRule="exact"/>
              <w:jc w:val="center"/>
              <w:rPr>
                <w:rFonts w:ascii="宋体" w:hAnsi="宋体" w:cs="宋体"/>
                <w:color w:val="000000"/>
              </w:rPr>
            </w:pPr>
          </w:p>
        </w:tc>
        <w:tc>
          <w:tcPr>
            <w:tcW w:w="1161" w:type="dxa"/>
            <w:vAlign w:val="center"/>
          </w:tcPr>
          <w:p>
            <w:pPr>
              <w:overflowPunct w:val="0"/>
              <w:topLinePunct/>
              <w:spacing w:line="400" w:lineRule="exact"/>
              <w:jc w:val="center"/>
              <w:rPr>
                <w:rFonts w:ascii="宋体" w:hAnsi="宋体" w:cs="宋体"/>
                <w:color w:val="000000"/>
              </w:rPr>
            </w:pPr>
          </w:p>
        </w:tc>
        <w:tc>
          <w:tcPr>
            <w:tcW w:w="1798" w:type="dxa"/>
            <w:tcBorders>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left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vAlign w:val="center"/>
          </w:tcPr>
          <w:p>
            <w:pPr>
              <w:overflowPunct w:val="0"/>
              <w:topLinePunct/>
              <w:spacing w:line="400" w:lineRule="exact"/>
              <w:jc w:val="center"/>
              <w:rPr>
                <w:rFonts w:ascii="宋体" w:hAnsi="宋体" w:cs="宋体"/>
                <w:color w:val="000000"/>
              </w:rPr>
            </w:pPr>
          </w:p>
        </w:tc>
        <w:tc>
          <w:tcPr>
            <w:tcW w:w="1391" w:type="dxa"/>
            <w:vAlign w:val="center"/>
          </w:tcPr>
          <w:p>
            <w:pPr>
              <w:overflowPunct w:val="0"/>
              <w:topLinePunct/>
              <w:spacing w:line="400" w:lineRule="exact"/>
              <w:jc w:val="center"/>
              <w:rPr>
                <w:rFonts w:ascii="宋体" w:hAnsi="宋体" w:cs="宋体"/>
                <w:color w:val="000000"/>
              </w:rPr>
            </w:pPr>
          </w:p>
        </w:tc>
        <w:tc>
          <w:tcPr>
            <w:tcW w:w="1320" w:type="dxa"/>
            <w:vAlign w:val="center"/>
          </w:tcPr>
          <w:p>
            <w:pPr>
              <w:overflowPunct w:val="0"/>
              <w:topLinePunct/>
              <w:spacing w:line="400" w:lineRule="exact"/>
              <w:jc w:val="center"/>
              <w:rPr>
                <w:rFonts w:ascii="宋体" w:hAnsi="宋体" w:cs="宋体"/>
                <w:color w:val="000000"/>
              </w:rPr>
            </w:pPr>
          </w:p>
        </w:tc>
        <w:tc>
          <w:tcPr>
            <w:tcW w:w="1161" w:type="dxa"/>
            <w:vAlign w:val="center"/>
          </w:tcPr>
          <w:p>
            <w:pPr>
              <w:overflowPunct w:val="0"/>
              <w:topLinePunct/>
              <w:spacing w:line="400" w:lineRule="exact"/>
              <w:jc w:val="center"/>
              <w:rPr>
                <w:rFonts w:ascii="宋体" w:hAnsi="宋体" w:cs="宋体"/>
                <w:color w:val="000000"/>
              </w:rPr>
            </w:pPr>
          </w:p>
        </w:tc>
        <w:tc>
          <w:tcPr>
            <w:tcW w:w="1798" w:type="dxa"/>
            <w:tcBorders>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left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vAlign w:val="center"/>
          </w:tcPr>
          <w:p>
            <w:pPr>
              <w:overflowPunct w:val="0"/>
              <w:topLinePunct/>
              <w:spacing w:line="400" w:lineRule="exact"/>
              <w:jc w:val="center"/>
              <w:rPr>
                <w:rFonts w:ascii="宋体" w:hAnsi="宋体" w:cs="宋体"/>
                <w:color w:val="000000"/>
              </w:rPr>
            </w:pPr>
          </w:p>
        </w:tc>
        <w:tc>
          <w:tcPr>
            <w:tcW w:w="1391" w:type="dxa"/>
            <w:tcBorders>
              <w:right w:val="single" w:color="auto" w:sz="4" w:space="0"/>
            </w:tcBorders>
            <w:vAlign w:val="center"/>
          </w:tcPr>
          <w:p>
            <w:pPr>
              <w:overflowPunct w:val="0"/>
              <w:topLinePunct/>
              <w:spacing w:line="400" w:lineRule="exact"/>
              <w:jc w:val="center"/>
              <w:rPr>
                <w:rFonts w:ascii="宋体" w:hAnsi="宋体" w:cs="宋体"/>
                <w:color w:val="000000"/>
              </w:rPr>
            </w:pPr>
          </w:p>
        </w:tc>
        <w:tc>
          <w:tcPr>
            <w:tcW w:w="1320" w:type="dxa"/>
            <w:tcBorders>
              <w:left w:val="single" w:color="auto" w:sz="4" w:space="0"/>
            </w:tcBorders>
            <w:vAlign w:val="center"/>
          </w:tcPr>
          <w:p>
            <w:pPr>
              <w:overflowPunct w:val="0"/>
              <w:topLinePunct/>
              <w:spacing w:line="400" w:lineRule="exact"/>
              <w:jc w:val="center"/>
              <w:rPr>
                <w:rFonts w:ascii="宋体" w:hAnsi="宋体" w:cs="宋体"/>
                <w:color w:val="000000"/>
              </w:rPr>
            </w:pPr>
          </w:p>
        </w:tc>
        <w:tc>
          <w:tcPr>
            <w:tcW w:w="1161" w:type="dxa"/>
            <w:vAlign w:val="center"/>
          </w:tcPr>
          <w:p>
            <w:pPr>
              <w:overflowPunct w:val="0"/>
              <w:topLinePunct/>
              <w:spacing w:line="400" w:lineRule="exact"/>
              <w:jc w:val="center"/>
              <w:rPr>
                <w:rFonts w:ascii="宋体" w:hAnsi="宋体" w:cs="宋体"/>
                <w:color w:val="000000"/>
              </w:rPr>
            </w:pPr>
          </w:p>
        </w:tc>
        <w:tc>
          <w:tcPr>
            <w:tcW w:w="1798" w:type="dxa"/>
            <w:tcBorders>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left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tcBorders>
              <w:right w:val="single" w:color="auto" w:sz="4" w:space="0"/>
            </w:tcBorders>
            <w:vAlign w:val="center"/>
          </w:tcPr>
          <w:p>
            <w:pPr>
              <w:overflowPunct w:val="0"/>
              <w:topLinePunct/>
              <w:spacing w:line="400" w:lineRule="exact"/>
              <w:jc w:val="center"/>
              <w:rPr>
                <w:rFonts w:ascii="宋体" w:hAnsi="宋体" w:cs="宋体"/>
                <w:color w:val="000000"/>
              </w:rPr>
            </w:pPr>
          </w:p>
        </w:tc>
        <w:tc>
          <w:tcPr>
            <w:tcW w:w="1391" w:type="dxa"/>
            <w:tcBorders>
              <w:left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1320" w:type="dxa"/>
            <w:tcBorders>
              <w:left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1161" w:type="dxa"/>
            <w:tcBorders>
              <w:left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1798" w:type="dxa"/>
            <w:tcBorders>
              <w:left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left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vAlign w:val="center"/>
          </w:tcPr>
          <w:p>
            <w:pPr>
              <w:overflowPunct w:val="0"/>
              <w:topLinePunct/>
              <w:spacing w:line="400" w:lineRule="exact"/>
              <w:jc w:val="center"/>
              <w:rPr>
                <w:rFonts w:ascii="宋体" w:hAnsi="宋体" w:cs="宋体"/>
                <w:color w:val="000000"/>
              </w:rPr>
            </w:pPr>
          </w:p>
        </w:tc>
        <w:tc>
          <w:tcPr>
            <w:tcW w:w="1391" w:type="dxa"/>
            <w:vAlign w:val="center"/>
          </w:tcPr>
          <w:p>
            <w:pPr>
              <w:overflowPunct w:val="0"/>
              <w:topLinePunct/>
              <w:spacing w:line="400" w:lineRule="exact"/>
              <w:jc w:val="center"/>
              <w:rPr>
                <w:rFonts w:ascii="宋体" w:hAnsi="宋体" w:cs="宋体"/>
                <w:color w:val="000000"/>
              </w:rPr>
            </w:pPr>
          </w:p>
        </w:tc>
        <w:tc>
          <w:tcPr>
            <w:tcW w:w="1320" w:type="dxa"/>
            <w:vAlign w:val="center"/>
          </w:tcPr>
          <w:p>
            <w:pPr>
              <w:overflowPunct w:val="0"/>
              <w:topLinePunct/>
              <w:spacing w:line="400" w:lineRule="exact"/>
              <w:jc w:val="center"/>
              <w:rPr>
                <w:rFonts w:ascii="宋体" w:hAnsi="宋体" w:cs="宋体"/>
                <w:color w:val="000000"/>
              </w:rPr>
            </w:pPr>
          </w:p>
        </w:tc>
        <w:tc>
          <w:tcPr>
            <w:tcW w:w="1161" w:type="dxa"/>
            <w:vAlign w:val="center"/>
          </w:tcPr>
          <w:p>
            <w:pPr>
              <w:overflowPunct w:val="0"/>
              <w:topLinePunct/>
              <w:spacing w:line="400" w:lineRule="exact"/>
              <w:jc w:val="center"/>
              <w:rPr>
                <w:rFonts w:ascii="宋体" w:hAnsi="宋体" w:cs="宋体"/>
                <w:color w:val="000000"/>
              </w:rPr>
            </w:pPr>
          </w:p>
        </w:tc>
        <w:tc>
          <w:tcPr>
            <w:tcW w:w="1798" w:type="dxa"/>
            <w:tcBorders>
              <w:left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left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vAlign w:val="center"/>
          </w:tcPr>
          <w:p>
            <w:pPr>
              <w:overflowPunct w:val="0"/>
              <w:topLinePunct/>
              <w:spacing w:line="400" w:lineRule="exact"/>
              <w:jc w:val="center"/>
              <w:rPr>
                <w:rFonts w:ascii="宋体" w:hAnsi="宋体" w:cs="宋体"/>
                <w:color w:val="000000"/>
              </w:rPr>
            </w:pPr>
          </w:p>
        </w:tc>
        <w:tc>
          <w:tcPr>
            <w:tcW w:w="1391" w:type="dxa"/>
            <w:vAlign w:val="center"/>
          </w:tcPr>
          <w:p>
            <w:pPr>
              <w:overflowPunct w:val="0"/>
              <w:topLinePunct/>
              <w:spacing w:line="400" w:lineRule="exact"/>
              <w:jc w:val="center"/>
              <w:rPr>
                <w:rFonts w:ascii="宋体" w:hAnsi="宋体" w:cs="宋体"/>
                <w:color w:val="000000"/>
              </w:rPr>
            </w:pPr>
          </w:p>
        </w:tc>
        <w:tc>
          <w:tcPr>
            <w:tcW w:w="1320" w:type="dxa"/>
            <w:vAlign w:val="center"/>
          </w:tcPr>
          <w:p>
            <w:pPr>
              <w:overflowPunct w:val="0"/>
              <w:topLinePunct/>
              <w:spacing w:line="400" w:lineRule="exact"/>
              <w:jc w:val="center"/>
              <w:rPr>
                <w:rFonts w:ascii="宋体" w:hAnsi="宋体" w:cs="宋体"/>
                <w:color w:val="000000"/>
              </w:rPr>
            </w:pPr>
          </w:p>
        </w:tc>
        <w:tc>
          <w:tcPr>
            <w:tcW w:w="1161" w:type="dxa"/>
            <w:vAlign w:val="center"/>
          </w:tcPr>
          <w:p>
            <w:pPr>
              <w:overflowPunct w:val="0"/>
              <w:topLinePunct/>
              <w:spacing w:line="400" w:lineRule="exact"/>
              <w:jc w:val="center"/>
              <w:rPr>
                <w:rFonts w:ascii="宋体" w:hAnsi="宋体" w:cs="宋体"/>
                <w:color w:val="000000"/>
              </w:rPr>
            </w:pPr>
          </w:p>
        </w:tc>
        <w:tc>
          <w:tcPr>
            <w:tcW w:w="1798" w:type="dxa"/>
            <w:tcBorders>
              <w:left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left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vAlign w:val="center"/>
          </w:tcPr>
          <w:p>
            <w:pPr>
              <w:overflowPunct w:val="0"/>
              <w:topLinePunct/>
              <w:spacing w:line="400" w:lineRule="exact"/>
              <w:jc w:val="center"/>
              <w:rPr>
                <w:rFonts w:ascii="宋体" w:hAnsi="宋体" w:cs="宋体"/>
                <w:color w:val="000000"/>
              </w:rPr>
            </w:pPr>
          </w:p>
        </w:tc>
        <w:tc>
          <w:tcPr>
            <w:tcW w:w="1391" w:type="dxa"/>
            <w:vAlign w:val="center"/>
          </w:tcPr>
          <w:p>
            <w:pPr>
              <w:overflowPunct w:val="0"/>
              <w:topLinePunct/>
              <w:spacing w:line="400" w:lineRule="exact"/>
              <w:jc w:val="center"/>
              <w:rPr>
                <w:rFonts w:ascii="宋体" w:hAnsi="宋体" w:cs="宋体"/>
                <w:color w:val="000000"/>
              </w:rPr>
            </w:pPr>
          </w:p>
        </w:tc>
        <w:tc>
          <w:tcPr>
            <w:tcW w:w="1320" w:type="dxa"/>
            <w:vAlign w:val="center"/>
          </w:tcPr>
          <w:p>
            <w:pPr>
              <w:overflowPunct w:val="0"/>
              <w:topLinePunct/>
              <w:spacing w:line="400" w:lineRule="exact"/>
              <w:jc w:val="center"/>
              <w:rPr>
                <w:rFonts w:ascii="宋体" w:hAnsi="宋体" w:cs="宋体"/>
                <w:color w:val="000000"/>
              </w:rPr>
            </w:pPr>
          </w:p>
        </w:tc>
        <w:tc>
          <w:tcPr>
            <w:tcW w:w="1161" w:type="dxa"/>
            <w:vAlign w:val="center"/>
          </w:tcPr>
          <w:p>
            <w:pPr>
              <w:overflowPunct w:val="0"/>
              <w:topLinePunct/>
              <w:spacing w:line="400" w:lineRule="exact"/>
              <w:jc w:val="center"/>
              <w:rPr>
                <w:rFonts w:ascii="宋体" w:hAnsi="宋体" w:cs="宋体"/>
                <w:color w:val="000000"/>
              </w:rPr>
            </w:pPr>
          </w:p>
        </w:tc>
        <w:tc>
          <w:tcPr>
            <w:tcW w:w="1798" w:type="dxa"/>
            <w:tcBorders>
              <w:left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left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tcBorders>
              <w:bottom w:val="single" w:color="auto" w:sz="4" w:space="0"/>
            </w:tcBorders>
            <w:vAlign w:val="center"/>
          </w:tcPr>
          <w:p>
            <w:pPr>
              <w:overflowPunct w:val="0"/>
              <w:topLinePunct/>
              <w:spacing w:line="400" w:lineRule="exact"/>
              <w:jc w:val="center"/>
              <w:rPr>
                <w:rFonts w:ascii="宋体" w:hAnsi="宋体" w:cs="宋体"/>
                <w:color w:val="000000"/>
              </w:rPr>
            </w:pPr>
          </w:p>
        </w:tc>
        <w:tc>
          <w:tcPr>
            <w:tcW w:w="1391" w:type="dxa"/>
            <w:tcBorders>
              <w:bottom w:val="single" w:color="auto" w:sz="4" w:space="0"/>
            </w:tcBorders>
            <w:vAlign w:val="center"/>
          </w:tcPr>
          <w:p>
            <w:pPr>
              <w:overflowPunct w:val="0"/>
              <w:topLinePunct/>
              <w:spacing w:line="400" w:lineRule="exact"/>
              <w:jc w:val="center"/>
              <w:rPr>
                <w:rFonts w:ascii="宋体" w:hAnsi="宋体" w:cs="宋体"/>
                <w:color w:val="000000"/>
              </w:rPr>
            </w:pPr>
          </w:p>
        </w:tc>
        <w:tc>
          <w:tcPr>
            <w:tcW w:w="1320" w:type="dxa"/>
            <w:tcBorders>
              <w:bottom w:val="single" w:color="auto" w:sz="4" w:space="0"/>
            </w:tcBorders>
            <w:vAlign w:val="center"/>
          </w:tcPr>
          <w:p>
            <w:pPr>
              <w:overflowPunct w:val="0"/>
              <w:topLinePunct/>
              <w:spacing w:line="400" w:lineRule="exact"/>
              <w:jc w:val="center"/>
              <w:rPr>
                <w:rFonts w:ascii="宋体" w:hAnsi="宋体" w:cs="宋体"/>
                <w:color w:val="000000"/>
              </w:rPr>
            </w:pPr>
          </w:p>
        </w:tc>
        <w:tc>
          <w:tcPr>
            <w:tcW w:w="1161" w:type="dxa"/>
            <w:tcBorders>
              <w:bottom w:val="single" w:color="auto" w:sz="4" w:space="0"/>
            </w:tcBorders>
            <w:vAlign w:val="center"/>
          </w:tcPr>
          <w:p>
            <w:pPr>
              <w:overflowPunct w:val="0"/>
              <w:topLinePunct/>
              <w:spacing w:line="400" w:lineRule="exact"/>
              <w:jc w:val="center"/>
              <w:rPr>
                <w:rFonts w:ascii="宋体" w:hAnsi="宋体" w:cs="宋体"/>
                <w:color w:val="000000"/>
              </w:rPr>
            </w:pPr>
          </w:p>
        </w:tc>
        <w:tc>
          <w:tcPr>
            <w:tcW w:w="1798"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left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391"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320"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161"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798"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top w:val="single" w:color="auto" w:sz="4" w:space="0"/>
              <w:left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391"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320"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161"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798"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top w:val="single" w:color="auto" w:sz="4" w:space="0"/>
              <w:left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391"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320"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161" w:type="dxa"/>
            <w:tcBorders>
              <w:top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c>
          <w:tcPr>
            <w:tcW w:w="1798"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top w:val="single" w:color="auto" w:sz="4" w:space="0"/>
              <w:left w:val="single" w:color="auto" w:sz="4" w:space="0"/>
              <w:bottom w:val="single" w:color="auto" w:sz="4" w:space="0"/>
            </w:tcBorders>
            <w:vAlign w:val="center"/>
          </w:tcPr>
          <w:p>
            <w:pPr>
              <w:overflowPunct w:val="0"/>
              <w:topLinePunct/>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73" w:hRule="atLeast"/>
          <w:jc w:val="center"/>
        </w:trPr>
        <w:tc>
          <w:tcPr>
            <w:tcW w:w="769" w:type="dxa"/>
            <w:tcBorders>
              <w:top w:val="single" w:color="auto" w:sz="4" w:space="0"/>
            </w:tcBorders>
            <w:vAlign w:val="center"/>
          </w:tcPr>
          <w:p>
            <w:pPr>
              <w:overflowPunct w:val="0"/>
              <w:topLinePunct/>
              <w:spacing w:line="400" w:lineRule="exact"/>
              <w:jc w:val="center"/>
              <w:rPr>
                <w:rFonts w:ascii="宋体" w:hAnsi="宋体" w:cs="宋体"/>
                <w:color w:val="000000"/>
              </w:rPr>
            </w:pPr>
          </w:p>
        </w:tc>
        <w:tc>
          <w:tcPr>
            <w:tcW w:w="1391" w:type="dxa"/>
            <w:tcBorders>
              <w:top w:val="single" w:color="auto" w:sz="4" w:space="0"/>
            </w:tcBorders>
            <w:vAlign w:val="center"/>
          </w:tcPr>
          <w:p>
            <w:pPr>
              <w:overflowPunct w:val="0"/>
              <w:topLinePunct/>
              <w:spacing w:line="400" w:lineRule="exact"/>
              <w:jc w:val="center"/>
              <w:rPr>
                <w:rFonts w:ascii="宋体" w:hAnsi="宋体" w:cs="宋体"/>
                <w:color w:val="000000"/>
              </w:rPr>
            </w:pPr>
          </w:p>
        </w:tc>
        <w:tc>
          <w:tcPr>
            <w:tcW w:w="1320" w:type="dxa"/>
            <w:tcBorders>
              <w:top w:val="single" w:color="auto" w:sz="4" w:space="0"/>
            </w:tcBorders>
            <w:vAlign w:val="center"/>
          </w:tcPr>
          <w:p>
            <w:pPr>
              <w:overflowPunct w:val="0"/>
              <w:topLinePunct/>
              <w:spacing w:line="400" w:lineRule="exact"/>
              <w:jc w:val="center"/>
              <w:rPr>
                <w:rFonts w:ascii="宋体" w:hAnsi="宋体" w:cs="宋体"/>
                <w:color w:val="000000"/>
              </w:rPr>
            </w:pPr>
          </w:p>
        </w:tc>
        <w:tc>
          <w:tcPr>
            <w:tcW w:w="1161" w:type="dxa"/>
            <w:tcBorders>
              <w:top w:val="single" w:color="auto" w:sz="4" w:space="0"/>
            </w:tcBorders>
            <w:vAlign w:val="center"/>
          </w:tcPr>
          <w:p>
            <w:pPr>
              <w:overflowPunct w:val="0"/>
              <w:topLinePunct/>
              <w:spacing w:line="400" w:lineRule="exact"/>
              <w:jc w:val="center"/>
              <w:rPr>
                <w:rFonts w:ascii="宋体" w:hAnsi="宋体" w:cs="宋体"/>
                <w:color w:val="000000"/>
              </w:rPr>
            </w:pPr>
          </w:p>
        </w:tc>
        <w:tc>
          <w:tcPr>
            <w:tcW w:w="1798" w:type="dxa"/>
            <w:tcBorders>
              <w:top w:val="single" w:color="auto" w:sz="4" w:space="0"/>
              <w:left w:val="single" w:color="auto" w:sz="4" w:space="0"/>
              <w:right w:val="single" w:color="auto" w:sz="4" w:space="0"/>
            </w:tcBorders>
            <w:vAlign w:val="center"/>
          </w:tcPr>
          <w:p>
            <w:pPr>
              <w:overflowPunct w:val="0"/>
              <w:topLinePunct/>
              <w:spacing w:line="400" w:lineRule="exact"/>
              <w:jc w:val="center"/>
              <w:rPr>
                <w:rFonts w:ascii="宋体" w:hAnsi="宋体" w:cs="宋体"/>
                <w:color w:val="000000"/>
              </w:rPr>
            </w:pPr>
          </w:p>
        </w:tc>
        <w:tc>
          <w:tcPr>
            <w:tcW w:w="793" w:type="dxa"/>
            <w:tcBorders>
              <w:top w:val="single" w:color="auto" w:sz="4" w:space="0"/>
              <w:left w:val="single" w:color="auto" w:sz="4" w:space="0"/>
            </w:tcBorders>
            <w:vAlign w:val="center"/>
          </w:tcPr>
          <w:p>
            <w:pPr>
              <w:overflowPunct w:val="0"/>
              <w:topLinePunct/>
              <w:spacing w:line="400" w:lineRule="exact"/>
              <w:jc w:val="center"/>
              <w:rPr>
                <w:rFonts w:ascii="宋体" w:hAnsi="宋体" w:cs="宋体"/>
                <w:color w:val="000000"/>
              </w:rPr>
            </w:pPr>
          </w:p>
        </w:tc>
      </w:tr>
    </w:tbl>
    <w:p>
      <w:pPr>
        <w:tabs>
          <w:tab w:val="left" w:pos="555"/>
          <w:tab w:val="left" w:pos="2214"/>
          <w:tab w:val="left" w:pos="3774"/>
          <w:tab w:val="left" w:pos="4854"/>
          <w:tab w:val="left" w:pos="5934"/>
          <w:tab w:val="left" w:pos="7014"/>
          <w:tab w:val="left" w:pos="8214"/>
          <w:tab w:val="left" w:pos="10134"/>
          <w:tab w:val="left" w:pos="11124"/>
        </w:tabs>
        <w:overflowPunct w:val="0"/>
        <w:topLinePunct/>
        <w:spacing w:line="360" w:lineRule="auto"/>
        <w:ind w:left="359" w:leftChars="171" w:firstLine="480" w:firstLineChars="200"/>
        <w:rPr>
          <w:rFonts w:ascii="宋体" w:hAnsi="宋体" w:cs="宋体"/>
          <w:color w:val="000000"/>
          <w:sz w:val="24"/>
          <w:szCs w:val="24"/>
        </w:rPr>
      </w:pPr>
      <w:r>
        <w:rPr>
          <w:rFonts w:hint="eastAsia" w:ascii="宋体" w:hAnsi="宋体" w:cs="宋体"/>
          <w:color w:val="000000"/>
          <w:sz w:val="24"/>
          <w:szCs w:val="24"/>
        </w:rPr>
        <w:t>注：以上项目需提供有关书面证明材料。</w:t>
      </w:r>
    </w:p>
    <w:p>
      <w:pPr>
        <w:overflowPunct w:val="0"/>
        <w:topLinePunct/>
        <w:spacing w:line="360" w:lineRule="auto"/>
        <w:ind w:firstLine="420" w:firstLineChars="200"/>
        <w:rPr>
          <w:rFonts w:ascii="宋体" w:hAnsi="宋体" w:cs="宋体"/>
          <w:color w:val="000000"/>
        </w:rPr>
      </w:pPr>
    </w:p>
    <w:p>
      <w:pPr>
        <w:overflowPunct w:val="0"/>
        <w:topLinePunct/>
        <w:adjustRightIn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供应商名称：（盖章）</w:t>
      </w:r>
    </w:p>
    <w:p>
      <w:pPr>
        <w:overflowPunct w:val="0"/>
        <w:topLinePunct/>
        <w:adjustRightInd w:val="0"/>
        <w:spacing w:line="360" w:lineRule="auto"/>
        <w:ind w:firstLine="480" w:firstLineChars="200"/>
        <w:jc w:val="left"/>
        <w:rPr>
          <w:rFonts w:ascii="宋体" w:hAnsi="宋体" w:cs="宋体"/>
          <w:bCs/>
          <w:sz w:val="24"/>
          <w:szCs w:val="24"/>
        </w:rPr>
      </w:pPr>
      <w:r>
        <w:rPr>
          <w:rFonts w:hint="eastAsia" w:ascii="宋体" w:hAnsi="宋体" w:cs="宋体"/>
          <w:sz w:val="24"/>
          <w:szCs w:val="24"/>
        </w:rPr>
        <w:t>法定代表人或授权代表（签字或盖章）</w:t>
      </w:r>
      <w:r>
        <w:rPr>
          <w:rFonts w:hint="eastAsia" w:ascii="宋体" w:hAnsi="宋体" w:cs="宋体"/>
          <w:bCs/>
          <w:sz w:val="24"/>
          <w:szCs w:val="24"/>
        </w:rPr>
        <w:t>：</w:t>
      </w:r>
    </w:p>
    <w:p>
      <w:pPr>
        <w:overflowPunct w:val="0"/>
        <w:topLinePunct/>
        <w:spacing w:line="360" w:lineRule="auto"/>
        <w:ind w:firstLine="480" w:firstLineChars="200"/>
        <w:rPr>
          <w:rFonts w:ascii="宋体" w:hAnsi="宋体" w:cs="宋体"/>
          <w:b/>
          <w:color w:val="000000"/>
          <w:sz w:val="24"/>
          <w:szCs w:val="24"/>
        </w:rPr>
      </w:pPr>
      <w:r>
        <w:rPr>
          <w:rFonts w:hint="eastAsia" w:ascii="宋体" w:hAnsi="宋体" w:cs="宋体"/>
          <w:bCs/>
          <w:sz w:val="24"/>
          <w:szCs w:val="24"/>
        </w:rPr>
        <w:t>日期:</w:t>
      </w:r>
    </w:p>
    <w:p>
      <w:pPr>
        <w:overflowPunct w:val="0"/>
        <w:topLinePunct/>
        <w:jc w:val="left"/>
        <w:rPr>
          <w:rFonts w:ascii="宋体" w:hAnsi="宋体" w:cs="宋体"/>
          <w:sz w:val="24"/>
        </w:rPr>
      </w:pPr>
    </w:p>
    <w:p>
      <w:pPr>
        <w:widowControl/>
        <w:overflowPunct w:val="0"/>
        <w:topLinePunct/>
        <w:jc w:val="left"/>
        <w:rPr>
          <w:rFonts w:ascii="宋体" w:hAnsi="宋体" w:cs="宋体"/>
          <w:sz w:val="24"/>
        </w:rPr>
      </w:pPr>
      <w:r>
        <w:rPr>
          <w:rFonts w:ascii="宋体" w:hAnsi="宋体" w:cs="宋体"/>
          <w:sz w:val="24"/>
        </w:rPr>
        <w:br w:type="page"/>
      </w:r>
    </w:p>
    <w:p>
      <w:pPr>
        <w:overflowPunct w:val="0"/>
        <w:topLinePunct/>
        <w:rPr>
          <w:rFonts w:ascii="宋体" w:hAnsi="宋体" w:cs="宋体"/>
          <w:b/>
          <w:bCs/>
          <w:kern w:val="0"/>
          <w:sz w:val="30"/>
          <w:szCs w:val="30"/>
        </w:rPr>
      </w:pPr>
      <w:r>
        <w:rPr>
          <w:rFonts w:hint="eastAsia" w:ascii="宋体" w:hAnsi="宋体" w:cs="宋体"/>
          <w:b/>
          <w:bCs/>
          <w:kern w:val="0"/>
          <w:sz w:val="30"/>
          <w:szCs w:val="30"/>
        </w:rPr>
        <w:t>格式8</w:t>
      </w:r>
    </w:p>
    <w:p>
      <w:pPr>
        <w:overflowPunct w:val="0"/>
        <w:topLinePunct/>
        <w:spacing w:beforeLines="50" w:afterLines="50"/>
        <w:jc w:val="center"/>
        <w:rPr>
          <w:rFonts w:ascii="宋体" w:hAnsi="宋体" w:cs="宋体"/>
          <w:b/>
          <w:bCs/>
          <w:color w:val="000000"/>
          <w:sz w:val="30"/>
          <w:szCs w:val="30"/>
        </w:rPr>
      </w:pPr>
      <w:bookmarkStart w:id="76" w:name="_Toc13814"/>
      <w:r>
        <w:rPr>
          <w:rFonts w:hint="eastAsia" w:ascii="宋体" w:hAnsi="宋体" w:cs="宋体"/>
          <w:b/>
          <w:bCs/>
          <w:color w:val="000000"/>
          <w:sz w:val="30"/>
          <w:szCs w:val="30"/>
        </w:rPr>
        <w:t>针对本项目的服务团队主要人员表</w:t>
      </w:r>
    </w:p>
    <w:tbl>
      <w:tblPr>
        <w:tblStyle w:val="12"/>
        <w:tblW w:w="886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56"/>
        <w:gridCol w:w="956"/>
        <w:gridCol w:w="2340"/>
        <w:gridCol w:w="1516"/>
        <w:gridCol w:w="2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Align w:val="center"/>
          </w:tcPr>
          <w:p>
            <w:pPr>
              <w:overflowPunct w:val="0"/>
              <w:topLinePunct/>
              <w:spacing w:line="360" w:lineRule="auto"/>
              <w:jc w:val="center"/>
              <w:rPr>
                <w:rFonts w:ascii="宋体" w:hAnsi="宋体" w:cs="宋体"/>
                <w:sz w:val="24"/>
              </w:rPr>
            </w:pPr>
            <w:r>
              <w:rPr>
                <w:rFonts w:hint="eastAsia" w:ascii="宋体" w:hAnsi="宋体" w:cs="宋体"/>
                <w:sz w:val="24"/>
              </w:rPr>
              <w:t>项目</w:t>
            </w:r>
          </w:p>
        </w:tc>
        <w:tc>
          <w:tcPr>
            <w:tcW w:w="956" w:type="dxa"/>
            <w:vAlign w:val="center"/>
          </w:tcPr>
          <w:p>
            <w:pPr>
              <w:overflowPunct w:val="0"/>
              <w:topLinePunct/>
              <w:spacing w:line="360" w:lineRule="auto"/>
              <w:jc w:val="center"/>
              <w:rPr>
                <w:rFonts w:ascii="宋体" w:hAnsi="宋体" w:cs="宋体"/>
                <w:sz w:val="24"/>
              </w:rPr>
            </w:pPr>
            <w:r>
              <w:rPr>
                <w:rFonts w:hint="eastAsia" w:ascii="宋体" w:hAnsi="宋体" w:cs="宋体"/>
                <w:sz w:val="24"/>
              </w:rPr>
              <w:t>姓名</w:t>
            </w:r>
          </w:p>
        </w:tc>
        <w:tc>
          <w:tcPr>
            <w:tcW w:w="956" w:type="dxa"/>
            <w:vAlign w:val="center"/>
          </w:tcPr>
          <w:p>
            <w:pPr>
              <w:overflowPunct w:val="0"/>
              <w:topLinePunct/>
              <w:spacing w:line="360" w:lineRule="auto"/>
              <w:jc w:val="center"/>
              <w:rPr>
                <w:rFonts w:ascii="宋体" w:hAnsi="宋体" w:cs="宋体"/>
                <w:sz w:val="24"/>
              </w:rPr>
            </w:pPr>
            <w:r>
              <w:rPr>
                <w:rFonts w:hint="eastAsia" w:ascii="宋体" w:hAnsi="宋体" w:cs="宋体"/>
                <w:sz w:val="24"/>
              </w:rPr>
              <w:t>职位</w:t>
            </w:r>
          </w:p>
        </w:tc>
        <w:tc>
          <w:tcPr>
            <w:tcW w:w="2340" w:type="dxa"/>
            <w:vAlign w:val="center"/>
          </w:tcPr>
          <w:p>
            <w:pPr>
              <w:overflowPunct w:val="0"/>
              <w:topLinePunct/>
              <w:spacing w:line="360" w:lineRule="auto"/>
              <w:jc w:val="center"/>
              <w:rPr>
                <w:rFonts w:ascii="宋体" w:hAnsi="宋体" w:cs="宋体"/>
                <w:sz w:val="24"/>
              </w:rPr>
            </w:pPr>
            <w:r>
              <w:rPr>
                <w:rFonts w:hint="eastAsia" w:ascii="宋体" w:hAnsi="宋体" w:cs="宋体"/>
                <w:sz w:val="24"/>
              </w:rPr>
              <w:t>持何种资格证件</w:t>
            </w:r>
          </w:p>
        </w:tc>
        <w:tc>
          <w:tcPr>
            <w:tcW w:w="1516" w:type="dxa"/>
            <w:vAlign w:val="center"/>
          </w:tcPr>
          <w:p>
            <w:pPr>
              <w:overflowPunct w:val="0"/>
              <w:topLinePunct/>
              <w:spacing w:line="360" w:lineRule="auto"/>
              <w:jc w:val="center"/>
              <w:rPr>
                <w:rFonts w:ascii="宋体" w:hAnsi="宋体" w:cs="宋体"/>
                <w:sz w:val="24"/>
              </w:rPr>
            </w:pPr>
            <w:r>
              <w:rPr>
                <w:rFonts w:hint="eastAsia" w:ascii="宋体" w:hAnsi="宋体" w:cs="宋体"/>
                <w:sz w:val="24"/>
              </w:rPr>
              <w:t>发证时间</w:t>
            </w:r>
          </w:p>
        </w:tc>
        <w:tc>
          <w:tcPr>
            <w:tcW w:w="2264" w:type="dxa"/>
            <w:vAlign w:val="center"/>
          </w:tcPr>
          <w:p>
            <w:pPr>
              <w:overflowPunct w:val="0"/>
              <w:topLinePunct/>
              <w:spacing w:line="360" w:lineRule="auto"/>
              <w:jc w:val="center"/>
              <w:rPr>
                <w:rFonts w:ascii="宋体" w:hAnsi="宋体" w:cs="宋体"/>
                <w:sz w:val="24"/>
              </w:rPr>
            </w:pPr>
            <w:r>
              <w:rPr>
                <w:rFonts w:hint="eastAsia" w:ascii="宋体" w:hAnsi="宋体" w:cs="宋体"/>
                <w:sz w:val="24"/>
              </w:rPr>
              <w:t>从事本工作时间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restart"/>
            <w:vAlign w:val="center"/>
          </w:tcPr>
          <w:p>
            <w:pPr>
              <w:overflowPunct w:val="0"/>
              <w:topLinePunct/>
              <w:spacing w:line="360" w:lineRule="auto"/>
              <w:jc w:val="center"/>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overflowPunct w:val="0"/>
              <w:topLinePunct/>
              <w:spacing w:line="360" w:lineRule="auto"/>
              <w:jc w:val="center"/>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overflowPunct w:val="0"/>
              <w:topLinePunct/>
              <w:spacing w:line="360" w:lineRule="auto"/>
              <w:jc w:val="center"/>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overflowPunct w:val="0"/>
              <w:topLinePunct/>
              <w:spacing w:line="360" w:lineRule="auto"/>
              <w:jc w:val="center"/>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overflowPunct w:val="0"/>
              <w:topLinePunct/>
              <w:spacing w:line="360" w:lineRule="auto"/>
              <w:jc w:val="center"/>
              <w:rPr>
                <w:rFonts w:ascii="宋体" w:hAnsi="宋体" w:cs="宋体"/>
                <w:sz w:val="24"/>
              </w:rPr>
            </w:pPr>
          </w:p>
        </w:tc>
        <w:tc>
          <w:tcPr>
            <w:tcW w:w="956" w:type="dxa"/>
            <w:tcBorders>
              <w:bottom w:val="single" w:color="auto" w:sz="4" w:space="0"/>
            </w:tcBorders>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restart"/>
            <w:vAlign w:val="center"/>
          </w:tcPr>
          <w:p>
            <w:pPr>
              <w:overflowPunct w:val="0"/>
              <w:topLinePunct/>
              <w:spacing w:line="360" w:lineRule="auto"/>
              <w:jc w:val="center"/>
              <w:rPr>
                <w:rFonts w:ascii="宋体" w:hAnsi="宋体" w:cs="宋体"/>
                <w:sz w:val="24"/>
              </w:rPr>
            </w:pPr>
          </w:p>
        </w:tc>
        <w:tc>
          <w:tcPr>
            <w:tcW w:w="956" w:type="dxa"/>
            <w:tcBorders>
              <w:top w:val="single" w:color="auto" w:sz="4" w:space="0"/>
            </w:tcBorders>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overflowPunct w:val="0"/>
              <w:topLinePunct/>
              <w:spacing w:line="360" w:lineRule="auto"/>
              <w:jc w:val="center"/>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overflowPunct w:val="0"/>
              <w:topLinePunct/>
              <w:spacing w:line="360" w:lineRule="auto"/>
              <w:jc w:val="center"/>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overflowPunct w:val="0"/>
              <w:topLinePunct/>
              <w:spacing w:line="360" w:lineRule="auto"/>
              <w:jc w:val="center"/>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restart"/>
            <w:vAlign w:val="center"/>
          </w:tcPr>
          <w:p>
            <w:pPr>
              <w:overflowPunct w:val="0"/>
              <w:topLinePunct/>
              <w:spacing w:line="360" w:lineRule="auto"/>
              <w:jc w:val="center"/>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overflowPunct w:val="0"/>
              <w:topLinePunct/>
              <w:spacing w:line="360" w:lineRule="auto"/>
              <w:rPr>
                <w:rFonts w:ascii="宋体" w:hAnsi="宋体" w:cs="宋体"/>
                <w:sz w:val="24"/>
              </w:rPr>
            </w:pPr>
          </w:p>
        </w:tc>
        <w:tc>
          <w:tcPr>
            <w:tcW w:w="956" w:type="dxa"/>
            <w:tcBorders>
              <w:bottom w:val="single" w:color="auto" w:sz="4" w:space="0"/>
            </w:tcBorders>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restart"/>
          </w:tcPr>
          <w:p>
            <w:pPr>
              <w:overflowPunct w:val="0"/>
              <w:topLinePunct/>
              <w:spacing w:line="360" w:lineRule="auto"/>
              <w:rPr>
                <w:rFonts w:ascii="宋体" w:hAnsi="宋体" w:cs="宋体"/>
                <w:sz w:val="24"/>
              </w:rPr>
            </w:pPr>
          </w:p>
        </w:tc>
        <w:tc>
          <w:tcPr>
            <w:tcW w:w="956" w:type="dxa"/>
            <w:tcBorders>
              <w:top w:val="single" w:color="auto" w:sz="4" w:space="0"/>
            </w:tcBorders>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956" w:type="dxa"/>
          </w:tcPr>
          <w:p>
            <w:pPr>
              <w:overflowPunct w:val="0"/>
              <w:topLinePunct/>
              <w:spacing w:line="360" w:lineRule="auto"/>
              <w:rPr>
                <w:rFonts w:ascii="宋体" w:hAnsi="宋体" w:cs="宋体"/>
                <w:sz w:val="24"/>
              </w:rPr>
            </w:pPr>
          </w:p>
        </w:tc>
        <w:tc>
          <w:tcPr>
            <w:tcW w:w="2340" w:type="dxa"/>
          </w:tcPr>
          <w:p>
            <w:pPr>
              <w:overflowPunct w:val="0"/>
              <w:topLinePunct/>
              <w:spacing w:line="360" w:lineRule="auto"/>
              <w:rPr>
                <w:rFonts w:ascii="宋体" w:hAnsi="宋体" w:cs="宋体"/>
                <w:sz w:val="24"/>
              </w:rPr>
            </w:pPr>
          </w:p>
        </w:tc>
        <w:tc>
          <w:tcPr>
            <w:tcW w:w="1516" w:type="dxa"/>
          </w:tcPr>
          <w:p>
            <w:pPr>
              <w:overflowPunct w:val="0"/>
              <w:topLinePunct/>
              <w:spacing w:line="360" w:lineRule="auto"/>
              <w:rPr>
                <w:rFonts w:ascii="宋体" w:hAnsi="宋体" w:cs="宋体"/>
                <w:sz w:val="24"/>
              </w:rPr>
            </w:pPr>
          </w:p>
        </w:tc>
        <w:tc>
          <w:tcPr>
            <w:tcW w:w="2264" w:type="dxa"/>
          </w:tcPr>
          <w:p>
            <w:pPr>
              <w:overflowPunct w:val="0"/>
              <w:topLinePunct/>
              <w:spacing w:line="360" w:lineRule="auto"/>
              <w:rPr>
                <w:rFonts w:ascii="宋体" w:hAnsi="宋体" w:cs="宋体"/>
                <w:sz w:val="24"/>
              </w:rPr>
            </w:pPr>
          </w:p>
        </w:tc>
      </w:tr>
    </w:tbl>
    <w:p>
      <w:pPr>
        <w:overflowPunct w:val="0"/>
        <w:topLinePunct/>
        <w:adjustRightIn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供应商名称：（盖章）</w:t>
      </w:r>
    </w:p>
    <w:p>
      <w:pPr>
        <w:overflowPunct w:val="0"/>
        <w:topLinePunct/>
        <w:adjustRightInd w:val="0"/>
        <w:spacing w:line="360" w:lineRule="auto"/>
        <w:ind w:firstLine="480" w:firstLineChars="200"/>
        <w:jc w:val="left"/>
        <w:rPr>
          <w:rFonts w:ascii="宋体" w:hAnsi="宋体" w:cs="宋体"/>
          <w:bCs/>
          <w:sz w:val="24"/>
          <w:szCs w:val="24"/>
        </w:rPr>
      </w:pPr>
      <w:r>
        <w:rPr>
          <w:rFonts w:hint="eastAsia" w:ascii="宋体" w:hAnsi="宋体" w:cs="宋体"/>
          <w:sz w:val="24"/>
          <w:szCs w:val="24"/>
        </w:rPr>
        <w:t>法定代表人或授权代表（签字或盖章）</w:t>
      </w:r>
      <w:r>
        <w:rPr>
          <w:rFonts w:hint="eastAsia" w:ascii="宋体" w:hAnsi="宋体" w:cs="宋体"/>
          <w:bCs/>
          <w:sz w:val="24"/>
          <w:szCs w:val="24"/>
        </w:rPr>
        <w:t>：</w:t>
      </w:r>
    </w:p>
    <w:p>
      <w:pPr>
        <w:overflowPunct w:val="0"/>
        <w:topLinePunct/>
        <w:spacing w:line="360" w:lineRule="auto"/>
        <w:ind w:firstLine="480" w:firstLineChars="200"/>
        <w:rPr>
          <w:rFonts w:ascii="宋体" w:hAnsi="宋体" w:cs="宋体"/>
          <w:bCs/>
          <w:sz w:val="24"/>
          <w:szCs w:val="24"/>
        </w:rPr>
      </w:pPr>
      <w:r>
        <w:rPr>
          <w:rFonts w:hint="eastAsia" w:ascii="宋体" w:hAnsi="宋体" w:cs="宋体"/>
          <w:bCs/>
          <w:sz w:val="24"/>
          <w:szCs w:val="24"/>
        </w:rPr>
        <w:t>日期:</w:t>
      </w:r>
    </w:p>
    <w:p>
      <w:pPr>
        <w:overflowPunct w:val="0"/>
        <w:topLinePunct/>
        <w:spacing w:line="360" w:lineRule="auto"/>
        <w:ind w:firstLine="480" w:firstLineChars="200"/>
        <w:rPr>
          <w:rFonts w:ascii="宋体" w:hAnsi="宋体" w:cs="宋体"/>
          <w:b/>
          <w:color w:val="000000"/>
          <w:sz w:val="24"/>
          <w:szCs w:val="24"/>
        </w:rPr>
      </w:pP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说明：1.在此表中填报拟用于本项目的主要服务人员的相关情况，并附人员的相关证明材料如服务人员所持资格证书等的复印件。2.除采购文件中要求必须提供的证明材料外，如未提供人员的相关证明材料可能会影响供应商的得分，但不影响响应文件的有效性。</w:t>
      </w:r>
    </w:p>
    <w:bookmarkEnd w:id="76"/>
    <w:p>
      <w:pPr>
        <w:overflowPunct w:val="0"/>
        <w:topLinePunct/>
        <w:spacing w:line="400" w:lineRule="exact"/>
        <w:rPr>
          <w:rFonts w:ascii="宋体" w:hAnsi="宋体" w:cs="宋体"/>
          <w:sz w:val="28"/>
          <w:szCs w:val="28"/>
        </w:rPr>
      </w:pPr>
    </w:p>
    <w:p>
      <w:pPr>
        <w:overflowPunct w:val="0"/>
        <w:topLinePunct/>
        <w:spacing w:line="400" w:lineRule="exact"/>
        <w:rPr>
          <w:rFonts w:ascii="宋体" w:hAnsi="宋体" w:cs="宋体"/>
          <w:sz w:val="28"/>
          <w:szCs w:val="28"/>
        </w:rPr>
      </w:pPr>
    </w:p>
    <w:p>
      <w:pPr>
        <w:overflowPunct w:val="0"/>
        <w:topLinePunct/>
        <w:rPr>
          <w:rFonts w:ascii="宋体" w:hAnsi="宋体" w:cs="宋体"/>
          <w:b/>
          <w:bCs/>
          <w:kern w:val="0"/>
          <w:sz w:val="30"/>
          <w:szCs w:val="30"/>
        </w:rPr>
      </w:pPr>
      <w:bookmarkStart w:id="77" w:name="_Toc227721874"/>
      <w:r>
        <w:rPr>
          <w:rFonts w:hint="eastAsia" w:ascii="宋体" w:hAnsi="宋体" w:cs="宋体"/>
          <w:b/>
          <w:bCs/>
          <w:kern w:val="0"/>
          <w:sz w:val="30"/>
          <w:szCs w:val="30"/>
        </w:rPr>
        <w:t>格式</w:t>
      </w:r>
      <w:bookmarkEnd w:id="77"/>
      <w:r>
        <w:rPr>
          <w:rFonts w:hint="eastAsia" w:ascii="宋体" w:hAnsi="宋体" w:cs="宋体"/>
          <w:b/>
          <w:bCs/>
          <w:kern w:val="0"/>
          <w:sz w:val="30"/>
          <w:szCs w:val="30"/>
        </w:rPr>
        <w:t>9</w:t>
      </w:r>
    </w:p>
    <w:p>
      <w:pPr>
        <w:overflowPunct w:val="0"/>
        <w:topLinePunct/>
        <w:spacing w:beforeLines="50" w:afterLines="50" w:line="360" w:lineRule="auto"/>
        <w:jc w:val="center"/>
        <w:rPr>
          <w:rFonts w:ascii="宋体" w:hAnsi="宋体" w:cs="宋体"/>
          <w:b/>
          <w:bCs/>
          <w:sz w:val="30"/>
          <w:szCs w:val="30"/>
        </w:rPr>
      </w:pPr>
      <w:r>
        <w:rPr>
          <w:rFonts w:hint="eastAsia" w:ascii="宋体" w:hAnsi="宋体" w:cs="宋体"/>
          <w:b/>
          <w:bCs/>
          <w:sz w:val="30"/>
          <w:szCs w:val="30"/>
        </w:rPr>
        <w:t>中小企业声明函</w:t>
      </w:r>
    </w:p>
    <w:p>
      <w:pPr>
        <w:widowControl/>
        <w:overflowPunct w:val="0"/>
        <w:topLinePunct/>
        <w:spacing w:before="100" w:beforeAutospacing="1" w:after="100" w:afterAutospacing="1" w:line="360" w:lineRule="auto"/>
        <w:jc w:val="left"/>
        <w:rPr>
          <w:rFonts w:ascii="宋体" w:hAnsi="宋体" w:cs="宋体"/>
          <w:kern w:val="0"/>
          <w:sz w:val="24"/>
          <w:szCs w:val="24"/>
        </w:rPr>
      </w:pPr>
      <w:r>
        <w:rPr>
          <w:rFonts w:hint="eastAsia" w:ascii="宋体" w:hAnsi="宋体" w:cs="宋体"/>
          <w:kern w:val="0"/>
          <w:sz w:val="24"/>
          <w:szCs w:val="24"/>
        </w:rPr>
        <w:t>　　本公司郑重声明，根据《政府采购促进中小企业发展暂行办法》（财库[2011]181号）的规定，本公司为______（请填写：中型、小型、微型）企业。即，本公司同时满足以下条件：</w:t>
      </w:r>
    </w:p>
    <w:p>
      <w:pPr>
        <w:widowControl/>
        <w:overflowPunct w:val="0"/>
        <w:topLinePunct/>
        <w:spacing w:before="100" w:beforeAutospacing="1" w:after="100" w:afterAutospacing="1" w:line="360" w:lineRule="auto"/>
        <w:jc w:val="left"/>
        <w:rPr>
          <w:rFonts w:ascii="宋体" w:hAnsi="宋体" w:cs="宋体"/>
          <w:kern w:val="0"/>
          <w:sz w:val="24"/>
          <w:szCs w:val="24"/>
        </w:rPr>
      </w:pPr>
      <w:r>
        <w:rPr>
          <w:rFonts w:hint="eastAsia" w:ascii="宋体" w:hAnsi="宋体" w:cs="宋体"/>
          <w:kern w:val="0"/>
          <w:sz w:val="24"/>
          <w:szCs w:val="24"/>
        </w:rPr>
        <w:t>　　1.根据《工业和信息化部、国家统计局、国家发展和改革委员会、财政部关于印发中小企业划型标准规定的通知》（工信部联企业[2011]300号）规定的划分标准，本公司为______（请填写：中型、小型、微型）企业。</w:t>
      </w:r>
    </w:p>
    <w:p>
      <w:pPr>
        <w:widowControl/>
        <w:overflowPunct w:val="0"/>
        <w:topLinePunct/>
        <w:spacing w:before="100" w:beforeAutospacing="1" w:after="100" w:afterAutospacing="1" w:line="360" w:lineRule="auto"/>
        <w:jc w:val="left"/>
        <w:rPr>
          <w:rFonts w:ascii="宋体" w:hAnsi="宋体" w:cs="宋体"/>
          <w:kern w:val="0"/>
          <w:sz w:val="24"/>
          <w:szCs w:val="24"/>
        </w:rPr>
      </w:pPr>
      <w:r>
        <w:rPr>
          <w:rFonts w:hint="eastAsia" w:ascii="宋体" w:hAnsi="宋体" w:cs="宋体"/>
          <w:kern w:val="0"/>
          <w:sz w:val="24"/>
          <w:szCs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overflowPunct w:val="0"/>
        <w:topLinePunct/>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本公司对上述声明的真实性负责。如有虚假，将依法承担相应责任。</w:t>
      </w:r>
    </w:p>
    <w:p>
      <w:pPr>
        <w:widowControl/>
        <w:overflowPunct w:val="0"/>
        <w:topLinePunct/>
        <w:spacing w:before="100" w:beforeAutospacing="1" w:after="100" w:afterAutospacing="1" w:line="432" w:lineRule="auto"/>
        <w:ind w:firstLine="480"/>
        <w:jc w:val="left"/>
        <w:rPr>
          <w:rFonts w:ascii="宋体" w:hAnsi="宋体" w:cs="宋体"/>
          <w:kern w:val="0"/>
          <w:sz w:val="24"/>
          <w:szCs w:val="24"/>
          <w:u w:val="single"/>
        </w:rPr>
      </w:pPr>
      <w:r>
        <w:rPr>
          <w:rFonts w:hint="eastAsia" w:ascii="宋体" w:hAnsi="宋体" w:cs="宋体"/>
          <w:kern w:val="0"/>
          <w:sz w:val="24"/>
          <w:szCs w:val="24"/>
        </w:rPr>
        <w:t>企业名称（盖章）：</w:t>
      </w:r>
    </w:p>
    <w:p>
      <w:pPr>
        <w:widowControl/>
        <w:overflowPunct w:val="0"/>
        <w:topLinePunct/>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日 期：</w:t>
      </w:r>
    </w:p>
    <w:p>
      <w:pPr>
        <w:overflowPunct w:val="0"/>
        <w:topLinePunct/>
        <w:jc w:val="center"/>
        <w:rPr>
          <w:rFonts w:ascii="宋体" w:hAnsi="宋体" w:cs="宋体"/>
          <w:b/>
          <w:sz w:val="32"/>
          <w:szCs w:val="32"/>
        </w:rPr>
      </w:pPr>
    </w:p>
    <w:p>
      <w:pPr>
        <w:overflowPunct w:val="0"/>
        <w:topLinePunct/>
        <w:jc w:val="center"/>
        <w:rPr>
          <w:rFonts w:ascii="宋体" w:hAnsi="宋体" w:cs="宋体"/>
          <w:kern w:val="0"/>
          <w:sz w:val="24"/>
          <w:szCs w:val="24"/>
        </w:rPr>
      </w:pPr>
    </w:p>
    <w:p>
      <w:pPr>
        <w:overflowPunct w:val="0"/>
        <w:topLinePunct/>
        <w:jc w:val="center"/>
        <w:rPr>
          <w:rFonts w:ascii="宋体" w:hAnsi="宋体" w:cs="宋体"/>
          <w:kern w:val="0"/>
          <w:sz w:val="24"/>
          <w:szCs w:val="24"/>
        </w:rPr>
      </w:pPr>
    </w:p>
    <w:p>
      <w:pPr>
        <w:overflowPunct w:val="0"/>
        <w:topLinePunct/>
        <w:jc w:val="center"/>
        <w:rPr>
          <w:rFonts w:ascii="宋体" w:hAnsi="宋体" w:cs="宋体"/>
          <w:b/>
          <w:sz w:val="32"/>
          <w:szCs w:val="32"/>
        </w:rPr>
      </w:pPr>
    </w:p>
    <w:p>
      <w:pPr>
        <w:widowControl/>
        <w:overflowPunct w:val="0"/>
        <w:topLinePunct/>
        <w:jc w:val="left"/>
        <w:rPr>
          <w:rFonts w:ascii="宋体" w:hAnsi="宋体" w:cs="宋体"/>
          <w:b/>
          <w:sz w:val="32"/>
          <w:szCs w:val="32"/>
        </w:rPr>
      </w:pPr>
      <w:r>
        <w:rPr>
          <w:rFonts w:ascii="宋体" w:hAnsi="宋体" w:cs="宋体"/>
          <w:b/>
          <w:sz w:val="32"/>
          <w:szCs w:val="32"/>
        </w:rPr>
        <w:br w:type="page"/>
      </w:r>
    </w:p>
    <w:p>
      <w:pPr>
        <w:overflowPunct w:val="0"/>
        <w:topLinePunct/>
        <w:rPr>
          <w:rFonts w:ascii="宋体" w:hAnsi="宋体" w:cs="宋体"/>
          <w:b/>
          <w:bCs/>
          <w:kern w:val="0"/>
          <w:sz w:val="30"/>
          <w:szCs w:val="30"/>
        </w:rPr>
      </w:pPr>
      <w:r>
        <w:rPr>
          <w:rFonts w:hint="eastAsia" w:ascii="宋体" w:hAnsi="宋体" w:cs="宋体"/>
          <w:b/>
          <w:bCs/>
          <w:kern w:val="0"/>
          <w:sz w:val="30"/>
          <w:szCs w:val="30"/>
        </w:rPr>
        <w:t>格式10</w:t>
      </w:r>
    </w:p>
    <w:p>
      <w:pPr>
        <w:overflowPunct w:val="0"/>
        <w:topLinePunct/>
        <w:spacing w:beforeLines="50" w:afterLines="50" w:line="360" w:lineRule="auto"/>
        <w:jc w:val="center"/>
        <w:rPr>
          <w:rFonts w:ascii="宋体" w:hAnsi="宋体" w:cs="宋体"/>
          <w:b/>
          <w:spacing w:val="6"/>
          <w:sz w:val="30"/>
          <w:szCs w:val="30"/>
        </w:rPr>
      </w:pPr>
      <w:r>
        <w:rPr>
          <w:rFonts w:hint="eastAsia" w:ascii="宋体" w:hAnsi="宋体" w:cs="宋体"/>
          <w:b/>
          <w:spacing w:val="6"/>
          <w:sz w:val="30"/>
          <w:szCs w:val="30"/>
        </w:rPr>
        <w:t>残疾人福利性单位声明函</w:t>
      </w:r>
    </w:p>
    <w:p>
      <w:pPr>
        <w:overflowPunct w:val="0"/>
        <w:topLinePunct/>
        <w:spacing w:line="360" w:lineRule="auto"/>
        <w:ind w:firstLine="480" w:firstLineChars="200"/>
        <w:rPr>
          <w:rFonts w:ascii="宋体" w:hAnsi="宋体" w:cs="宋体"/>
          <w:kern w:val="0"/>
          <w:sz w:val="24"/>
          <w:szCs w:val="24"/>
        </w:rPr>
      </w:pPr>
      <w:r>
        <w:rPr>
          <w:rFonts w:hint="eastAsia" w:ascii="宋体" w:hAnsi="宋体" w:cs="宋体"/>
          <w:kern w:val="0"/>
          <w:sz w:val="24"/>
          <w:szCs w:val="24"/>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overflowPunct w:val="0"/>
        <w:topLinePunct/>
        <w:spacing w:line="360" w:lineRule="auto"/>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overflowPunct w:val="0"/>
        <w:topLinePunct/>
        <w:spacing w:line="588" w:lineRule="exact"/>
        <w:rPr>
          <w:rFonts w:ascii="宋体" w:hAnsi="宋体" w:cs="宋体"/>
          <w:kern w:val="0"/>
          <w:sz w:val="24"/>
          <w:szCs w:val="24"/>
        </w:rPr>
      </w:pPr>
    </w:p>
    <w:p>
      <w:pPr>
        <w:tabs>
          <w:tab w:val="left" w:pos="4860"/>
        </w:tabs>
        <w:overflowPunct w:val="0"/>
        <w:topLinePunct/>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overflowPunct w:val="0"/>
        <w:topLinePunct/>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tabs>
          <w:tab w:val="left" w:pos="4860"/>
        </w:tabs>
        <w:overflowPunct w:val="0"/>
        <w:topLinePunct/>
        <w:spacing w:line="588" w:lineRule="exact"/>
        <w:ind w:right="1560" w:firstLine="480" w:firstLineChars="200"/>
        <w:jc w:val="center"/>
        <w:rPr>
          <w:rFonts w:ascii="宋体" w:hAnsi="宋体" w:cs="宋体"/>
          <w:kern w:val="0"/>
          <w:sz w:val="24"/>
          <w:szCs w:val="24"/>
        </w:rPr>
      </w:pPr>
    </w:p>
    <w:p>
      <w:pPr>
        <w:tabs>
          <w:tab w:val="left" w:pos="4860"/>
        </w:tabs>
        <w:overflowPunct w:val="0"/>
        <w:topLinePunct/>
        <w:spacing w:line="588" w:lineRule="exact"/>
        <w:ind w:right="1560" w:firstLine="480" w:firstLineChars="200"/>
        <w:jc w:val="center"/>
        <w:rPr>
          <w:rFonts w:ascii="宋体" w:hAnsi="宋体" w:cs="宋体"/>
          <w:kern w:val="0"/>
          <w:sz w:val="24"/>
          <w:szCs w:val="24"/>
        </w:rPr>
      </w:pPr>
    </w:p>
    <w:p>
      <w:pPr>
        <w:tabs>
          <w:tab w:val="left" w:pos="4860"/>
        </w:tabs>
        <w:overflowPunct w:val="0"/>
        <w:topLinePunct/>
        <w:spacing w:line="588" w:lineRule="exact"/>
        <w:ind w:right="84" w:firstLine="480" w:firstLineChars="200"/>
        <w:jc w:val="left"/>
        <w:rPr>
          <w:rFonts w:ascii="宋体" w:hAnsi="宋体" w:cs="宋体"/>
          <w:kern w:val="0"/>
          <w:sz w:val="24"/>
          <w:szCs w:val="24"/>
        </w:rPr>
      </w:pPr>
      <w:r>
        <w:rPr>
          <w:rFonts w:hint="eastAsia" w:ascii="宋体" w:hAnsi="宋体" w:cs="宋体"/>
          <w:kern w:val="0"/>
          <w:sz w:val="24"/>
          <w:szCs w:val="24"/>
        </w:rPr>
        <w:t>注：供应商提供的《残疾人福利性单位声明函》与事实不符的，依照《政府采购法》第七十七条第一款的规定追究法律责任。</w:t>
      </w:r>
    </w:p>
    <w:p>
      <w:pPr>
        <w:widowControl/>
        <w:overflowPunct w:val="0"/>
        <w:topLinePunct/>
        <w:rPr>
          <w:rFonts w:ascii="宋体" w:hAnsi="宋体" w:cs="宋体"/>
          <w:b/>
          <w:sz w:val="32"/>
          <w:szCs w:val="32"/>
        </w:rPr>
      </w:pPr>
    </w:p>
    <w:p>
      <w:pPr>
        <w:widowControl/>
        <w:overflowPunct w:val="0"/>
        <w:topLinePunct/>
        <w:rPr>
          <w:rFonts w:ascii="宋体" w:hAnsi="宋体" w:cs="宋体"/>
          <w:b/>
          <w:sz w:val="32"/>
          <w:szCs w:val="32"/>
        </w:rPr>
      </w:pPr>
    </w:p>
    <w:p>
      <w:pPr>
        <w:widowControl/>
        <w:overflowPunct w:val="0"/>
        <w:topLinePunct/>
        <w:rPr>
          <w:rFonts w:ascii="宋体" w:hAnsi="宋体" w:cs="宋体"/>
          <w:b/>
          <w:sz w:val="32"/>
          <w:szCs w:val="32"/>
        </w:rPr>
      </w:pPr>
    </w:p>
    <w:p>
      <w:pPr>
        <w:widowControl/>
        <w:overflowPunct w:val="0"/>
        <w:topLinePunct/>
        <w:jc w:val="left"/>
        <w:rPr>
          <w:rFonts w:ascii="宋体" w:hAnsi="宋体" w:cs="宋体"/>
          <w:b/>
          <w:sz w:val="32"/>
          <w:szCs w:val="32"/>
        </w:rPr>
      </w:pPr>
      <w:r>
        <w:rPr>
          <w:rFonts w:ascii="宋体" w:hAnsi="宋体" w:cs="宋体"/>
          <w:b/>
          <w:sz w:val="32"/>
          <w:szCs w:val="32"/>
        </w:rPr>
        <w:br w:type="page"/>
      </w:r>
    </w:p>
    <w:p>
      <w:pPr>
        <w:overflowPunct w:val="0"/>
        <w:topLinePunct/>
        <w:rPr>
          <w:rFonts w:ascii="宋体" w:hAnsi="宋体" w:cs="宋体"/>
          <w:b/>
          <w:bCs/>
          <w:kern w:val="0"/>
          <w:sz w:val="30"/>
          <w:szCs w:val="30"/>
        </w:rPr>
      </w:pPr>
      <w:bookmarkStart w:id="78" w:name="_Toc6521"/>
      <w:r>
        <w:rPr>
          <w:rFonts w:ascii="宋体" w:hAnsi="宋体" w:cs="宋体"/>
          <w:b/>
          <w:bCs/>
          <w:kern w:val="0"/>
          <w:sz w:val="30"/>
          <w:szCs w:val="30"/>
        </w:rPr>
        <w:t>格式</w:t>
      </w:r>
      <w:r>
        <w:rPr>
          <w:rFonts w:hint="eastAsia" w:ascii="宋体" w:hAnsi="宋体" w:cs="宋体"/>
          <w:b/>
          <w:bCs/>
          <w:kern w:val="0"/>
          <w:sz w:val="30"/>
          <w:szCs w:val="30"/>
        </w:rPr>
        <w:t>11</w:t>
      </w:r>
    </w:p>
    <w:p>
      <w:pPr>
        <w:overflowPunct w:val="0"/>
        <w:topLinePunct/>
        <w:spacing w:beforeLines="50" w:afterLines="50"/>
        <w:jc w:val="center"/>
        <w:rPr>
          <w:rFonts w:ascii="宋体" w:hAnsi="宋体" w:cs="宋体"/>
          <w:b/>
          <w:spacing w:val="6"/>
          <w:sz w:val="30"/>
          <w:szCs w:val="30"/>
        </w:rPr>
      </w:pPr>
      <w:r>
        <w:rPr>
          <w:rFonts w:hint="eastAsia" w:ascii="宋体" w:hAnsi="宋体" w:cs="宋体"/>
          <w:b/>
          <w:spacing w:val="6"/>
          <w:sz w:val="30"/>
          <w:szCs w:val="30"/>
        </w:rPr>
        <w:t>报名表</w:t>
      </w:r>
    </w:p>
    <w:tbl>
      <w:tblPr>
        <w:tblStyle w:val="13"/>
        <w:tblW w:w="8279" w:type="dxa"/>
        <w:jc w:val="center"/>
        <w:tblInd w:w="-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2467" w:type="dxa"/>
            <w:vAlign w:val="center"/>
          </w:tcPr>
          <w:p>
            <w:pPr>
              <w:overflowPunct w:val="0"/>
              <w:topLinePunct/>
              <w:jc w:val="center"/>
              <w:rPr>
                <w:rFonts w:ascii="宋体" w:hAnsi="宋体" w:cs="宋体"/>
                <w:kern w:val="0"/>
                <w:sz w:val="24"/>
                <w:szCs w:val="24"/>
              </w:rPr>
            </w:pPr>
            <w:r>
              <w:rPr>
                <w:rFonts w:ascii="宋体" w:hAnsi="宋体" w:cs="宋体"/>
                <w:kern w:val="0"/>
                <w:sz w:val="24"/>
                <w:szCs w:val="24"/>
              </w:rPr>
              <w:t>项目</w:t>
            </w:r>
            <w:r>
              <w:rPr>
                <w:rFonts w:hint="eastAsia" w:ascii="宋体" w:hAnsi="宋体" w:cs="宋体"/>
                <w:kern w:val="0"/>
                <w:sz w:val="24"/>
                <w:szCs w:val="24"/>
              </w:rPr>
              <w:t>：</w:t>
            </w:r>
          </w:p>
        </w:tc>
        <w:tc>
          <w:tcPr>
            <w:tcW w:w="5812" w:type="dxa"/>
            <w:vAlign w:val="center"/>
          </w:tcPr>
          <w:p>
            <w:pPr>
              <w:overflowPunct w:val="0"/>
              <w:topLinePunct/>
              <w:jc w:val="center"/>
              <w:rPr>
                <w:rFonts w:ascii="宋体" w:hAnsi="宋体" w:cs="宋体"/>
                <w:kern w:val="0"/>
                <w:sz w:val="24"/>
                <w:szCs w:val="24"/>
              </w:rPr>
            </w:pPr>
            <w:r>
              <w:rPr>
                <w:rFonts w:hint="eastAsia" w:ascii="宋体" w:hAnsi="宋体" w:cs="宋体"/>
                <w:kern w:val="0"/>
                <w:sz w:val="24"/>
                <w:szCs w:val="24"/>
              </w:rPr>
              <w:t>自然灾害综合风险普查公益宣传视频集制作项目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2467" w:type="dxa"/>
            <w:vAlign w:val="center"/>
          </w:tcPr>
          <w:p>
            <w:pPr>
              <w:overflowPunct w:val="0"/>
              <w:topLinePunct/>
              <w:jc w:val="center"/>
              <w:rPr>
                <w:rFonts w:ascii="宋体" w:hAnsi="宋体" w:cs="宋体"/>
                <w:kern w:val="0"/>
                <w:sz w:val="24"/>
                <w:szCs w:val="24"/>
              </w:rPr>
            </w:pPr>
            <w:r>
              <w:rPr>
                <w:rFonts w:ascii="宋体" w:hAnsi="宋体" w:cs="宋体"/>
                <w:kern w:val="0"/>
                <w:sz w:val="24"/>
                <w:szCs w:val="24"/>
              </w:rPr>
              <w:t>供应商名称</w:t>
            </w:r>
          </w:p>
        </w:tc>
        <w:tc>
          <w:tcPr>
            <w:tcW w:w="5812" w:type="dxa"/>
            <w:vAlign w:val="center"/>
          </w:tcPr>
          <w:p>
            <w:pPr>
              <w:overflowPunct w:val="0"/>
              <w:topLinePun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2467" w:type="dxa"/>
            <w:vAlign w:val="center"/>
          </w:tcPr>
          <w:p>
            <w:pPr>
              <w:overflowPunct w:val="0"/>
              <w:topLinePunct/>
              <w:jc w:val="center"/>
              <w:rPr>
                <w:rFonts w:ascii="宋体" w:hAnsi="宋体" w:cs="宋体"/>
                <w:kern w:val="0"/>
                <w:sz w:val="24"/>
                <w:szCs w:val="24"/>
              </w:rPr>
            </w:pPr>
            <w:r>
              <w:rPr>
                <w:rFonts w:ascii="宋体" w:hAnsi="宋体" w:cs="宋体"/>
                <w:kern w:val="0"/>
                <w:sz w:val="24"/>
                <w:szCs w:val="24"/>
              </w:rPr>
              <w:t>联系人</w:t>
            </w:r>
          </w:p>
        </w:tc>
        <w:tc>
          <w:tcPr>
            <w:tcW w:w="5812" w:type="dxa"/>
            <w:vAlign w:val="center"/>
          </w:tcPr>
          <w:p>
            <w:pPr>
              <w:overflowPunct w:val="0"/>
              <w:topLinePun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2467" w:type="dxa"/>
            <w:vAlign w:val="center"/>
          </w:tcPr>
          <w:p>
            <w:pPr>
              <w:overflowPunct w:val="0"/>
              <w:topLinePunct/>
              <w:jc w:val="center"/>
              <w:rPr>
                <w:rFonts w:ascii="宋体" w:hAnsi="宋体" w:cs="宋体"/>
                <w:kern w:val="0"/>
                <w:sz w:val="24"/>
                <w:szCs w:val="24"/>
              </w:rPr>
            </w:pPr>
            <w:r>
              <w:rPr>
                <w:rFonts w:ascii="宋体" w:hAnsi="宋体" w:cs="宋体"/>
                <w:kern w:val="0"/>
                <w:sz w:val="24"/>
                <w:szCs w:val="24"/>
              </w:rPr>
              <w:t>电话</w:t>
            </w:r>
          </w:p>
        </w:tc>
        <w:tc>
          <w:tcPr>
            <w:tcW w:w="5812" w:type="dxa"/>
            <w:vAlign w:val="center"/>
          </w:tcPr>
          <w:p>
            <w:pPr>
              <w:overflowPunct w:val="0"/>
              <w:topLinePun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2467" w:type="dxa"/>
            <w:vAlign w:val="center"/>
          </w:tcPr>
          <w:p>
            <w:pPr>
              <w:overflowPunct w:val="0"/>
              <w:topLinePunct/>
              <w:jc w:val="center"/>
              <w:rPr>
                <w:rFonts w:ascii="宋体" w:hAnsi="宋体" w:cs="宋体"/>
                <w:kern w:val="0"/>
                <w:sz w:val="24"/>
                <w:szCs w:val="24"/>
              </w:rPr>
            </w:pPr>
            <w:r>
              <w:rPr>
                <w:rFonts w:ascii="宋体" w:hAnsi="宋体" w:cs="宋体"/>
                <w:kern w:val="0"/>
                <w:sz w:val="24"/>
                <w:szCs w:val="24"/>
              </w:rPr>
              <w:t>时间</w:t>
            </w:r>
          </w:p>
        </w:tc>
        <w:tc>
          <w:tcPr>
            <w:tcW w:w="5812" w:type="dxa"/>
            <w:vAlign w:val="center"/>
          </w:tcPr>
          <w:p>
            <w:pPr>
              <w:overflowPunct w:val="0"/>
              <w:topLinePunct/>
              <w:jc w:val="center"/>
              <w:rPr>
                <w:rFonts w:ascii="宋体" w:hAnsi="宋体" w:cs="宋体"/>
                <w:kern w:val="0"/>
                <w:sz w:val="24"/>
                <w:szCs w:val="24"/>
              </w:rPr>
            </w:pPr>
          </w:p>
        </w:tc>
      </w:tr>
    </w:tbl>
    <w:p>
      <w:pPr>
        <w:overflowPunct w:val="0"/>
        <w:topLinePunct/>
      </w:pPr>
    </w:p>
    <w:p>
      <w:pPr>
        <w:widowControl/>
        <w:overflowPunct w:val="0"/>
        <w:topLinePunct/>
        <w:jc w:val="left"/>
        <w:rPr>
          <w:rFonts w:ascii="宋体" w:hAnsi="宋体" w:cs="宋体"/>
          <w:b/>
          <w:kern w:val="44"/>
          <w:sz w:val="30"/>
          <w:szCs w:val="30"/>
        </w:rPr>
      </w:pPr>
      <w:bookmarkStart w:id="79" w:name="_Toc31316"/>
      <w:r>
        <w:rPr>
          <w:rFonts w:ascii="宋体" w:hAnsi="宋体" w:cs="宋体"/>
        </w:rPr>
        <w:br w:type="page"/>
      </w:r>
    </w:p>
    <w:p>
      <w:pPr>
        <w:pStyle w:val="2"/>
        <w:overflowPunct w:val="0"/>
        <w:topLinePunct/>
        <w:rPr>
          <w:rFonts w:ascii="宋体" w:hAnsi="宋体" w:eastAsia="宋体" w:cs="宋体"/>
        </w:rPr>
      </w:pPr>
      <w:bookmarkStart w:id="80" w:name="_Toc61359384"/>
      <w:r>
        <w:rPr>
          <w:rFonts w:hint="eastAsia" w:ascii="宋体" w:hAnsi="宋体" w:eastAsia="宋体" w:cs="宋体"/>
        </w:rPr>
        <w:t>十二、合同主要条款</w:t>
      </w:r>
      <w:bookmarkEnd w:id="78"/>
      <w:r>
        <w:rPr>
          <w:rFonts w:hint="eastAsia" w:ascii="宋体" w:hAnsi="宋体" w:eastAsia="宋体" w:cs="宋体"/>
        </w:rPr>
        <w:t>（草案）</w:t>
      </w:r>
      <w:bookmarkEnd w:id="79"/>
      <w:bookmarkEnd w:id="80"/>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1.采购人与成交供应商应当在成交通知书发出之日起30日内，依据采购文件、响应文件以及评审、商定过程中确定的事项签订政府采购合同。</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.合同主要条款</w:t>
      </w:r>
    </w:p>
    <w:p>
      <w:pPr>
        <w:overflowPunct w:val="0"/>
        <w:topLinePunct/>
        <w:spacing w:line="360" w:lineRule="auto"/>
        <w:ind w:firstLine="420" w:firstLineChars="200"/>
        <w:rPr>
          <w:rFonts w:ascii="宋体" w:hAnsi="宋体" w:cs="宋体"/>
        </w:rPr>
      </w:pPr>
    </w:p>
    <w:p>
      <w:pPr>
        <w:pStyle w:val="20"/>
        <w:overflowPunct w:val="0"/>
        <w:topLinePunct/>
        <w:spacing w:line="360" w:lineRule="auto"/>
        <w:ind w:firstLine="480"/>
        <w:rPr>
          <w:rFonts w:ascii="宋体" w:hAnsi="宋体"/>
        </w:rPr>
      </w:pPr>
      <w:r>
        <w:rPr>
          <w:rFonts w:hint="eastAsia" w:ascii="宋体" w:hAnsi="宋体"/>
        </w:rPr>
        <w:t xml:space="preserve">合同编号：                                         </w:t>
      </w:r>
    </w:p>
    <w:p>
      <w:pPr>
        <w:pStyle w:val="20"/>
        <w:overflowPunct w:val="0"/>
        <w:topLinePunct/>
        <w:spacing w:line="360" w:lineRule="auto"/>
        <w:ind w:firstLine="480"/>
        <w:rPr>
          <w:rFonts w:ascii="宋体" w:hAnsi="宋体"/>
        </w:rPr>
      </w:pPr>
      <w:r>
        <w:rPr>
          <w:rFonts w:hint="eastAsia" w:ascii="宋体" w:hAnsi="宋体"/>
        </w:rPr>
        <w:t xml:space="preserve">签订地点：                                         </w:t>
      </w:r>
    </w:p>
    <w:p>
      <w:pPr>
        <w:pStyle w:val="20"/>
        <w:overflowPunct w:val="0"/>
        <w:topLinePunct/>
        <w:spacing w:line="360" w:lineRule="auto"/>
        <w:ind w:firstLine="480"/>
        <w:rPr>
          <w:rFonts w:ascii="宋体" w:hAnsi="宋体"/>
        </w:rPr>
      </w:pPr>
      <w:r>
        <w:rPr>
          <w:rFonts w:hint="eastAsia" w:ascii="宋体" w:hAnsi="宋体"/>
        </w:rPr>
        <w:t xml:space="preserve">签订时间：                                         </w:t>
      </w:r>
    </w:p>
    <w:p>
      <w:pPr>
        <w:pStyle w:val="20"/>
        <w:overflowPunct w:val="0"/>
        <w:topLinePunct/>
        <w:spacing w:line="360" w:lineRule="auto"/>
        <w:ind w:firstLine="480"/>
        <w:rPr>
          <w:rFonts w:ascii="宋体" w:hAnsi="宋体"/>
        </w:rPr>
      </w:pPr>
      <w:r>
        <w:rPr>
          <w:rFonts w:hint="eastAsia" w:ascii="宋体" w:hAnsi="宋体"/>
        </w:rPr>
        <w:t xml:space="preserve">采购人（甲方，盖章）：                                          </w:t>
      </w:r>
    </w:p>
    <w:p>
      <w:pPr>
        <w:pStyle w:val="20"/>
        <w:overflowPunct w:val="0"/>
        <w:topLinePunct/>
        <w:spacing w:line="360" w:lineRule="auto"/>
        <w:ind w:firstLine="480"/>
        <w:rPr>
          <w:rFonts w:ascii="宋体" w:hAnsi="宋体"/>
        </w:rPr>
      </w:pPr>
      <w:r>
        <w:rPr>
          <w:rFonts w:hint="eastAsia" w:ascii="宋体" w:hAnsi="宋体"/>
        </w:rPr>
        <w:t xml:space="preserve">供应商（乙方，盖章）：                                          </w:t>
      </w:r>
    </w:p>
    <w:p>
      <w:pPr>
        <w:overflowPunct w:val="0"/>
        <w:topLinePunct/>
        <w:spacing w:line="360" w:lineRule="auto"/>
        <w:ind w:firstLine="200"/>
        <w:rPr>
          <w:rFonts w:ascii="宋体" w:hAnsi="宋体" w:cs="宋体"/>
          <w:sz w:val="24"/>
          <w:szCs w:val="24"/>
        </w:rPr>
      </w:pPr>
    </w:p>
    <w:p>
      <w:pPr>
        <w:pStyle w:val="20"/>
        <w:overflowPunct w:val="0"/>
        <w:topLinePunct/>
        <w:spacing w:line="360" w:lineRule="auto"/>
        <w:ind w:firstLine="480"/>
        <w:rPr>
          <w:rFonts w:ascii="宋体" w:hAnsi="宋体"/>
        </w:rPr>
      </w:pPr>
      <w:r>
        <w:rPr>
          <w:rFonts w:hint="eastAsia" w:ascii="宋体" w:hAnsi="宋体"/>
        </w:rPr>
        <w:t>根据《中华人民共和国政府采购法》、《中华人民共和国合同法》及</w:t>
      </w:r>
      <w:r>
        <w:rPr>
          <w:rFonts w:hint="eastAsia" w:ascii="宋体" w:hAnsi="宋体"/>
          <w:color w:val="000000"/>
          <w:szCs w:val="21"/>
        </w:rPr>
        <w:t>四川省应急管理厅</w:t>
      </w:r>
      <w:r>
        <w:rPr>
          <w:rFonts w:hint="eastAsia" w:ascii="宋体" w:hAnsi="宋体"/>
        </w:rPr>
        <w:t>采购项目的《磋商文件》、乙方的《响应文件》及《成交通知书》，甲、乙双方同意签订本合同。详细技术说明及其他有关合同项目的特定信息由合同附件予以说明，合同附件及本项目的采购文件、报价文件、《成交通知书》等均为本合同不可分割的部分。双方同意共同遵守如下条款：</w:t>
      </w:r>
    </w:p>
    <w:p>
      <w:pPr>
        <w:numPr>
          <w:ilvl w:val="0"/>
          <w:numId w:val="1"/>
        </w:numPr>
        <w:overflowPunct w:val="0"/>
        <w:topLinePunct/>
        <w:spacing w:line="360" w:lineRule="auto"/>
        <w:rPr>
          <w:rFonts w:ascii="宋体" w:hAnsi="宋体" w:cs="宋体"/>
          <w:b/>
          <w:sz w:val="24"/>
        </w:rPr>
      </w:pPr>
      <w:r>
        <w:rPr>
          <w:rFonts w:hint="eastAsia" w:ascii="宋体" w:hAnsi="宋体" w:cs="宋体"/>
          <w:b/>
          <w:sz w:val="24"/>
        </w:rPr>
        <w:t>项目基本情况</w:t>
      </w:r>
    </w:p>
    <w:p>
      <w:pPr>
        <w:overflowPunct w:val="0"/>
        <w:topLinePunct/>
        <w:spacing w:line="360" w:lineRule="auto"/>
        <w:ind w:firstLine="630"/>
        <w:rPr>
          <w:rFonts w:ascii="宋体" w:hAnsi="宋体" w:cs="宋体"/>
          <w:b/>
          <w:sz w:val="24"/>
        </w:rPr>
      </w:pPr>
    </w:p>
    <w:p>
      <w:pPr>
        <w:numPr>
          <w:ilvl w:val="0"/>
          <w:numId w:val="1"/>
        </w:numPr>
        <w:overflowPunct w:val="0"/>
        <w:topLinePunct/>
        <w:spacing w:line="360" w:lineRule="auto"/>
        <w:rPr>
          <w:rFonts w:ascii="宋体" w:hAnsi="宋体" w:cs="宋体"/>
          <w:b/>
          <w:sz w:val="24"/>
        </w:rPr>
      </w:pPr>
      <w:r>
        <w:rPr>
          <w:rFonts w:hint="eastAsia" w:ascii="宋体" w:hAnsi="宋体" w:cs="宋体"/>
          <w:b/>
          <w:sz w:val="24"/>
        </w:rPr>
        <w:t>合同期限</w:t>
      </w:r>
    </w:p>
    <w:p>
      <w:pPr>
        <w:overflowPunct w:val="0"/>
        <w:topLinePunct/>
        <w:spacing w:line="360" w:lineRule="auto"/>
        <w:ind w:firstLine="480" w:firstLineChars="200"/>
        <w:rPr>
          <w:rFonts w:ascii="宋体" w:hAnsi="宋体" w:cs="宋体"/>
          <w:sz w:val="24"/>
        </w:rPr>
      </w:pPr>
    </w:p>
    <w:p>
      <w:pPr>
        <w:numPr>
          <w:ilvl w:val="0"/>
          <w:numId w:val="1"/>
        </w:numPr>
        <w:overflowPunct w:val="0"/>
        <w:topLinePunct/>
        <w:spacing w:line="360" w:lineRule="auto"/>
        <w:rPr>
          <w:rFonts w:ascii="宋体" w:hAnsi="宋体" w:cs="宋体"/>
          <w:b/>
          <w:sz w:val="24"/>
        </w:rPr>
      </w:pPr>
      <w:bookmarkStart w:id="81" w:name="_Toc241833903"/>
      <w:bookmarkStart w:id="82" w:name="_Toc211911348"/>
      <w:bookmarkStart w:id="83" w:name="_Toc212019594"/>
      <w:bookmarkStart w:id="84" w:name="_Toc283019214"/>
      <w:bookmarkStart w:id="85" w:name="_Toc237145406"/>
      <w:bookmarkStart w:id="86" w:name="_Toc225670751"/>
      <w:bookmarkStart w:id="87" w:name="_Toc211854449"/>
      <w:bookmarkStart w:id="88" w:name="_Toc185395249"/>
      <w:bookmarkStart w:id="89" w:name="_Toc247334841"/>
      <w:bookmarkStart w:id="90" w:name="_Toc239233914"/>
      <w:bookmarkStart w:id="91" w:name="_Toc251768862"/>
      <w:bookmarkStart w:id="92" w:name="_Toc232492928"/>
      <w:bookmarkStart w:id="93" w:name="_Toc225654644"/>
      <w:bookmarkStart w:id="94" w:name="_Toc238984975"/>
      <w:bookmarkStart w:id="95" w:name="_Toc282696226"/>
      <w:bookmarkStart w:id="96" w:name="_Toc239568418"/>
      <w:bookmarkStart w:id="97" w:name="_Toc286993786"/>
      <w:bookmarkStart w:id="98" w:name="_Toc225244852"/>
      <w:r>
        <w:rPr>
          <w:rFonts w:hint="eastAsia" w:ascii="宋体" w:hAnsi="宋体" w:cs="宋体"/>
          <w:b/>
          <w:sz w:val="24"/>
        </w:rPr>
        <w:t>服务内容与质量标准</w:t>
      </w:r>
    </w:p>
    <w:p>
      <w:pPr>
        <w:overflowPunct w:val="0"/>
        <w:topLinePunct/>
        <w:spacing w:line="360" w:lineRule="auto"/>
        <w:ind w:left="567"/>
        <w:rPr>
          <w:rFonts w:ascii="宋体" w:hAnsi="宋体" w:cs="宋体"/>
          <w:sz w:val="24"/>
        </w:rPr>
      </w:pPr>
      <w:r>
        <w:rPr>
          <w:rFonts w:hint="eastAsia" w:ascii="宋体" w:hAnsi="宋体" w:cs="宋体"/>
          <w:sz w:val="24"/>
        </w:rPr>
        <w:t>1、</w:t>
      </w:r>
      <w:r>
        <w:rPr>
          <w:rFonts w:hint="eastAsia" w:ascii="宋体" w:hAnsi="宋体" w:cs="宋体"/>
          <w:szCs w:val="21"/>
        </w:rPr>
        <w:t>XXXX；</w:t>
      </w:r>
    </w:p>
    <w:p>
      <w:pPr>
        <w:overflowPunct w:val="0"/>
        <w:topLinePunct/>
        <w:spacing w:line="360" w:lineRule="auto"/>
        <w:ind w:left="567"/>
        <w:rPr>
          <w:rFonts w:ascii="宋体" w:hAnsi="宋体" w:cs="宋体"/>
          <w:sz w:val="24"/>
        </w:rPr>
      </w:pPr>
      <w:r>
        <w:rPr>
          <w:rFonts w:hint="eastAsia" w:ascii="宋体" w:hAnsi="宋体" w:cs="宋体"/>
          <w:sz w:val="24"/>
        </w:rPr>
        <w:t>2、</w:t>
      </w:r>
      <w:r>
        <w:rPr>
          <w:rFonts w:hint="eastAsia" w:ascii="宋体" w:hAnsi="宋体" w:cs="宋体"/>
          <w:szCs w:val="21"/>
        </w:rPr>
        <w:t>XXXX；</w:t>
      </w:r>
    </w:p>
    <w:p>
      <w:pPr>
        <w:overflowPunct w:val="0"/>
        <w:topLinePunct/>
        <w:spacing w:line="360" w:lineRule="auto"/>
        <w:ind w:left="567"/>
        <w:rPr>
          <w:rFonts w:ascii="宋体" w:hAnsi="宋体" w:cs="宋体"/>
          <w:sz w:val="24"/>
        </w:rPr>
      </w:pPr>
      <w:r>
        <w:rPr>
          <w:rFonts w:hint="eastAsia" w:ascii="宋体" w:hAnsi="宋体" w:cs="宋体"/>
          <w:sz w:val="24"/>
        </w:rPr>
        <w:t>3、</w:t>
      </w:r>
      <w:r>
        <w:rPr>
          <w:rFonts w:hint="eastAsia" w:ascii="宋体" w:hAnsi="宋体" w:cs="宋体"/>
          <w:szCs w:val="21"/>
        </w:rPr>
        <w:t>XXXX．</w:t>
      </w:r>
    </w:p>
    <w:p>
      <w:pPr>
        <w:overflowPunct w:val="0"/>
        <w:topLinePunct/>
        <w:spacing w:line="360" w:lineRule="auto"/>
        <w:ind w:firstLine="630"/>
        <w:rPr>
          <w:rFonts w:ascii="宋体" w:hAnsi="宋体" w:cs="宋体"/>
          <w:sz w:val="24"/>
        </w:rPr>
      </w:pPr>
      <w:r>
        <w:rPr>
          <w:rFonts w:hint="eastAsia" w:ascii="宋体" w:hAnsi="宋体" w:cs="宋体"/>
          <w:sz w:val="24"/>
        </w:rPr>
        <w:t>…</w:t>
      </w:r>
    </w:p>
    <w:p>
      <w:pPr>
        <w:numPr>
          <w:ilvl w:val="0"/>
          <w:numId w:val="1"/>
        </w:numPr>
        <w:overflowPunct w:val="0"/>
        <w:topLinePunct/>
        <w:spacing w:line="360" w:lineRule="auto"/>
        <w:rPr>
          <w:rFonts w:ascii="宋体" w:hAnsi="宋体" w:cs="宋体"/>
          <w:b/>
          <w:sz w:val="24"/>
        </w:rPr>
      </w:pPr>
      <w:r>
        <w:rPr>
          <w:rFonts w:hint="eastAsia" w:ascii="宋体" w:hAnsi="宋体" w:cs="宋体"/>
          <w:b/>
          <w:sz w:val="24"/>
        </w:rPr>
        <w:t>服务费用及支付方式</w:t>
      </w:r>
    </w:p>
    <w:p>
      <w:pPr>
        <w:numPr>
          <w:ilvl w:val="0"/>
          <w:numId w:val="2"/>
        </w:numPr>
        <w:overflowPunct w:val="0"/>
        <w:topLinePunct/>
        <w:spacing w:line="360" w:lineRule="auto"/>
        <w:ind w:left="0" w:firstLine="567"/>
        <w:rPr>
          <w:rFonts w:ascii="宋体" w:hAnsi="宋体" w:cs="宋体"/>
          <w:sz w:val="24"/>
        </w:rPr>
      </w:pPr>
      <w:r>
        <w:rPr>
          <w:rFonts w:hint="eastAsia" w:ascii="宋体" w:hAnsi="宋体" w:cs="宋体"/>
          <w:sz w:val="24"/>
        </w:rPr>
        <w:t>本项目服务费用由以下组成：</w:t>
      </w:r>
    </w:p>
    <w:tbl>
      <w:tblPr>
        <w:tblStyle w:val="12"/>
        <w:tblW w:w="9285"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5"/>
        <w:gridCol w:w="2993"/>
        <w:gridCol w:w="850"/>
        <w:gridCol w:w="851"/>
        <w:gridCol w:w="850"/>
        <w:gridCol w:w="709"/>
        <w:gridCol w:w="947"/>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1365" w:type="dxa"/>
            <w:vMerge w:val="restart"/>
            <w:tcBorders>
              <w:top w:val="single" w:color="auto" w:sz="4" w:space="0"/>
              <w:left w:val="single" w:color="auto" w:sz="4" w:space="0"/>
              <w:right w:val="single" w:color="auto" w:sz="4" w:space="0"/>
            </w:tcBorders>
            <w:vAlign w:val="center"/>
          </w:tcPr>
          <w:p>
            <w:pPr>
              <w:overflowPunct w:val="0"/>
              <w:topLinePunct/>
              <w:spacing w:line="400" w:lineRule="exact"/>
              <w:rPr>
                <w:rFonts w:ascii="宋体" w:hAnsi="宋体" w:cs="宋体"/>
                <w:szCs w:val="21"/>
              </w:rPr>
            </w:pPr>
            <w:r>
              <w:rPr>
                <w:rFonts w:hint="eastAsia" w:ascii="宋体" w:hAnsi="宋体" w:cs="宋体"/>
                <w:szCs w:val="21"/>
              </w:rPr>
              <w:t>服务名称</w:t>
            </w:r>
          </w:p>
        </w:tc>
        <w:tc>
          <w:tcPr>
            <w:tcW w:w="2993" w:type="dxa"/>
            <w:vMerge w:val="restart"/>
            <w:tcBorders>
              <w:top w:val="single" w:color="auto" w:sz="4" w:space="0"/>
              <w:left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服务内容</w:t>
            </w:r>
          </w:p>
        </w:tc>
        <w:tc>
          <w:tcPr>
            <w:tcW w:w="850" w:type="dxa"/>
            <w:vMerge w:val="restart"/>
            <w:tcBorders>
              <w:top w:val="single" w:color="auto" w:sz="4" w:space="0"/>
              <w:left w:val="single" w:color="auto" w:sz="4" w:space="0"/>
              <w:right w:val="single" w:color="auto" w:sz="4" w:space="0"/>
            </w:tcBorders>
            <w:vAlign w:val="center"/>
          </w:tcPr>
          <w:p>
            <w:pPr>
              <w:overflowPunct w:val="0"/>
              <w:topLinePunct/>
              <w:spacing w:line="400" w:lineRule="exact"/>
              <w:rPr>
                <w:rFonts w:ascii="宋体" w:hAnsi="宋体" w:cs="宋体"/>
                <w:szCs w:val="21"/>
              </w:rPr>
            </w:pPr>
            <w:r>
              <w:rPr>
                <w:rFonts w:hint="eastAsia" w:ascii="宋体" w:hAnsi="宋体" w:cs="宋体"/>
                <w:szCs w:val="21"/>
              </w:rPr>
              <w:t>总价（万元）</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资金来源（万元）</w:t>
            </w:r>
          </w:p>
        </w:tc>
        <w:tc>
          <w:tcPr>
            <w:tcW w:w="947" w:type="dxa"/>
            <w:vMerge w:val="restart"/>
            <w:tcBorders>
              <w:top w:val="single" w:color="auto" w:sz="4" w:space="0"/>
              <w:left w:val="single" w:color="auto" w:sz="4" w:space="0"/>
              <w:right w:val="single" w:color="auto" w:sz="4" w:space="0"/>
            </w:tcBorders>
            <w:vAlign w:val="center"/>
          </w:tcPr>
          <w:p>
            <w:pPr>
              <w:overflowPunct w:val="0"/>
              <w:topLinePunct/>
              <w:jc w:val="center"/>
              <w:rPr>
                <w:rFonts w:ascii="宋体" w:hAnsi="宋体" w:cs="宋体"/>
                <w:szCs w:val="21"/>
              </w:rPr>
            </w:pPr>
            <w:r>
              <w:rPr>
                <w:rFonts w:hint="eastAsia" w:ascii="宋体" w:hAnsi="宋体" w:cs="宋体"/>
                <w:szCs w:val="21"/>
              </w:rPr>
              <w:t>服务</w:t>
            </w:r>
          </w:p>
          <w:p>
            <w:pPr>
              <w:overflowPunct w:val="0"/>
              <w:topLinePunct/>
              <w:jc w:val="center"/>
              <w:rPr>
                <w:rFonts w:ascii="宋体" w:hAnsi="宋体" w:cs="宋体"/>
                <w:szCs w:val="21"/>
              </w:rPr>
            </w:pPr>
            <w:r>
              <w:rPr>
                <w:rFonts w:hint="eastAsia" w:ascii="宋体" w:hAnsi="宋体" w:cs="宋体"/>
                <w:szCs w:val="21"/>
              </w:rPr>
              <w:t>年限</w:t>
            </w:r>
          </w:p>
        </w:tc>
        <w:tc>
          <w:tcPr>
            <w:tcW w:w="720" w:type="dxa"/>
            <w:vMerge w:val="restart"/>
            <w:tcBorders>
              <w:top w:val="single" w:color="auto" w:sz="4" w:space="0"/>
              <w:left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365" w:type="dxa"/>
            <w:vMerge w:val="continue"/>
            <w:tcBorders>
              <w:left w:val="single" w:color="auto" w:sz="4" w:space="0"/>
              <w:bottom w:val="single" w:color="auto" w:sz="4" w:space="0"/>
              <w:right w:val="single" w:color="auto" w:sz="4" w:space="0"/>
            </w:tcBorders>
            <w:vAlign w:val="center"/>
          </w:tcPr>
          <w:p>
            <w:pPr>
              <w:overflowPunct w:val="0"/>
              <w:topLinePunct/>
              <w:spacing w:line="400" w:lineRule="exact"/>
              <w:ind w:firstLine="210" w:firstLineChars="100"/>
              <w:rPr>
                <w:rFonts w:ascii="宋体" w:hAnsi="宋体" w:cs="宋体"/>
                <w:szCs w:val="21"/>
              </w:rPr>
            </w:pPr>
          </w:p>
        </w:tc>
        <w:tc>
          <w:tcPr>
            <w:tcW w:w="2993" w:type="dxa"/>
            <w:vMerge w:val="continue"/>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p>
        </w:tc>
        <w:tc>
          <w:tcPr>
            <w:tcW w:w="850" w:type="dxa"/>
            <w:vMerge w:val="continue"/>
            <w:tcBorders>
              <w:left w:val="single" w:color="auto" w:sz="4" w:space="0"/>
              <w:bottom w:val="single" w:color="auto" w:sz="4" w:space="0"/>
              <w:right w:val="single" w:color="auto" w:sz="4" w:space="0"/>
            </w:tcBorders>
            <w:vAlign w:val="center"/>
          </w:tcPr>
          <w:p>
            <w:pPr>
              <w:overflowPunct w:val="0"/>
              <w:topLinePunct/>
              <w:spacing w:line="400" w:lineRule="exact"/>
              <w:rPr>
                <w:rFonts w:ascii="宋体" w:hAnsi="宋体" w:cs="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预算内</w:t>
            </w: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预算外</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其他</w:t>
            </w:r>
          </w:p>
        </w:tc>
        <w:tc>
          <w:tcPr>
            <w:tcW w:w="947" w:type="dxa"/>
            <w:vMerge w:val="continue"/>
            <w:tcBorders>
              <w:left w:val="single" w:color="auto" w:sz="4" w:space="0"/>
              <w:bottom w:val="single" w:color="auto" w:sz="4" w:space="0"/>
              <w:right w:val="single" w:color="auto" w:sz="4" w:space="0"/>
            </w:tcBorders>
            <w:vAlign w:val="center"/>
          </w:tcPr>
          <w:p>
            <w:pPr>
              <w:widowControl/>
              <w:overflowPunct w:val="0"/>
              <w:topLinePunct/>
              <w:jc w:val="left"/>
              <w:rPr>
                <w:rFonts w:ascii="宋体" w:hAnsi="宋体" w:cs="宋体"/>
                <w:szCs w:val="21"/>
              </w:rPr>
            </w:pPr>
          </w:p>
        </w:tc>
        <w:tc>
          <w:tcPr>
            <w:tcW w:w="720" w:type="dxa"/>
            <w:vMerge w:val="continue"/>
            <w:tcBorders>
              <w:left w:val="single" w:color="auto" w:sz="4" w:space="0"/>
              <w:bottom w:val="single" w:color="auto" w:sz="4" w:space="0"/>
              <w:right w:val="single" w:color="auto" w:sz="4" w:space="0"/>
            </w:tcBorders>
            <w:vAlign w:val="center"/>
          </w:tcPr>
          <w:p>
            <w:pPr>
              <w:overflowPunct w:val="0"/>
              <w:topLinePunct/>
              <w:spacing w:line="400" w:lineRule="exact"/>
              <w:ind w:firstLine="105" w:firstLineChars="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365"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 </w:t>
            </w:r>
          </w:p>
        </w:tc>
        <w:tc>
          <w:tcPr>
            <w:tcW w:w="299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 </w:t>
            </w:r>
          </w:p>
          <w:p>
            <w:pPr>
              <w:overflowPunct w:val="0"/>
              <w:topLinePunct/>
              <w:spacing w:line="400" w:lineRule="exact"/>
              <w:jc w:val="center"/>
              <w:rPr>
                <w:rFonts w:ascii="宋体" w:hAnsi="宋体" w:cs="宋体"/>
                <w:szCs w:val="21"/>
              </w:rPr>
            </w:pPr>
            <w:r>
              <w:rPr>
                <w:rFonts w:hint="eastAsia" w:ascii="宋体" w:hAnsi="宋体" w:cs="宋体"/>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 </w:t>
            </w:r>
          </w:p>
        </w:tc>
        <w:tc>
          <w:tcPr>
            <w:tcW w:w="85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 </w:t>
            </w:r>
          </w:p>
        </w:tc>
        <w:tc>
          <w:tcPr>
            <w:tcW w:w="947"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365"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 </w:t>
            </w:r>
          </w:p>
        </w:tc>
        <w:tc>
          <w:tcPr>
            <w:tcW w:w="299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 </w:t>
            </w:r>
          </w:p>
          <w:p>
            <w:pPr>
              <w:overflowPunct w:val="0"/>
              <w:topLinePunct/>
              <w:spacing w:line="400" w:lineRule="exact"/>
              <w:jc w:val="center"/>
              <w:rPr>
                <w:rFonts w:ascii="宋体" w:hAnsi="宋体" w:cs="宋体"/>
                <w:szCs w:val="21"/>
              </w:rPr>
            </w:pPr>
            <w:r>
              <w:rPr>
                <w:rFonts w:hint="eastAsia" w:ascii="宋体" w:hAnsi="宋体" w:cs="宋体"/>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 </w:t>
            </w:r>
          </w:p>
        </w:tc>
        <w:tc>
          <w:tcPr>
            <w:tcW w:w="85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 </w:t>
            </w:r>
          </w:p>
        </w:tc>
        <w:tc>
          <w:tcPr>
            <w:tcW w:w="947"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宋体" w:hAnsi="宋体" w:cs="宋体"/>
                <w:szCs w:val="21"/>
              </w:rPr>
            </w:pPr>
            <w:r>
              <w:rPr>
                <w:rFonts w:hint="eastAsia" w:ascii="宋体" w:hAnsi="宋体" w:cs="宋体"/>
                <w:szCs w:val="21"/>
              </w:rPr>
              <w:t> </w:t>
            </w:r>
          </w:p>
        </w:tc>
      </w:tr>
    </w:tbl>
    <w:p>
      <w:pPr>
        <w:overflowPunct w:val="0"/>
        <w:topLinePunct/>
        <w:spacing w:line="360" w:lineRule="auto"/>
        <w:rPr>
          <w:rFonts w:ascii="宋体" w:hAnsi="宋体" w:cs="宋体"/>
          <w:b/>
          <w:sz w:val="24"/>
        </w:rPr>
      </w:pPr>
    </w:p>
    <w:p>
      <w:pPr>
        <w:overflowPunct w:val="0"/>
        <w:topLinePunct/>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Cs w:val="21"/>
        </w:rPr>
        <w:t>XX</w:t>
      </w:r>
      <w:r>
        <w:rPr>
          <w:rFonts w:hint="eastAsia" w:ascii="宋体" w:hAnsi="宋体" w:cs="宋体"/>
          <w:sz w:val="24"/>
        </w:rPr>
        <w:t>万元；</w:t>
      </w:r>
    </w:p>
    <w:p>
      <w:pPr>
        <w:overflowPunct w:val="0"/>
        <w:topLinePunct/>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Cs w:val="21"/>
        </w:rPr>
        <w:t>XX</w:t>
      </w:r>
      <w:r>
        <w:rPr>
          <w:rFonts w:hint="eastAsia" w:ascii="宋体" w:hAnsi="宋体" w:cs="宋体"/>
          <w:sz w:val="24"/>
        </w:rPr>
        <w:t>万元；</w:t>
      </w:r>
    </w:p>
    <w:p>
      <w:pPr>
        <w:overflowPunct w:val="0"/>
        <w:topLinePunct/>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Cs w:val="21"/>
        </w:rPr>
        <w:t>XX</w:t>
      </w:r>
      <w:r>
        <w:rPr>
          <w:rFonts w:hint="eastAsia" w:ascii="宋体" w:hAnsi="宋体" w:cs="宋体"/>
          <w:sz w:val="24"/>
        </w:rPr>
        <w:t>万元。</w:t>
      </w:r>
    </w:p>
    <w:p>
      <w:pPr>
        <w:overflowPunct w:val="0"/>
        <w:topLinePunct/>
        <w:spacing w:line="360" w:lineRule="auto"/>
        <w:ind w:firstLine="480" w:firstLineChars="200"/>
        <w:rPr>
          <w:rFonts w:ascii="宋体" w:hAnsi="宋体" w:cs="宋体"/>
          <w:sz w:val="24"/>
        </w:rPr>
      </w:pPr>
      <w:r>
        <w:rPr>
          <w:rFonts w:hint="eastAsia" w:ascii="宋体" w:hAnsi="宋体" w:cs="宋体"/>
          <w:sz w:val="24"/>
        </w:rPr>
        <w:t>……</w:t>
      </w:r>
    </w:p>
    <w:p>
      <w:pPr>
        <w:numPr>
          <w:ilvl w:val="0"/>
          <w:numId w:val="2"/>
        </w:numPr>
        <w:tabs>
          <w:tab w:val="left" w:pos="780"/>
        </w:tabs>
        <w:overflowPunct w:val="0"/>
        <w:topLinePunct/>
        <w:spacing w:line="360" w:lineRule="auto"/>
        <w:ind w:left="0" w:firstLine="567"/>
        <w:rPr>
          <w:rFonts w:ascii="宋体" w:hAnsi="宋体" w:cs="宋体"/>
          <w:sz w:val="24"/>
        </w:rPr>
      </w:pPr>
      <w:r>
        <w:rPr>
          <w:rFonts w:hint="eastAsia" w:ascii="宋体" w:hAnsi="宋体" w:cs="宋体"/>
          <w:sz w:val="24"/>
        </w:rPr>
        <w:t>服务费支付方式：合同签订后</w:t>
      </w:r>
      <w:r>
        <w:rPr>
          <w:rFonts w:hint="eastAsia" w:ascii="宋体" w:hAnsi="宋体" w:cs="宋体"/>
          <w:sz w:val="24"/>
          <w:lang w:val="en-US" w:eastAsia="zh-CN"/>
        </w:rPr>
        <w:t>10</w:t>
      </w:r>
      <w:r>
        <w:rPr>
          <w:rFonts w:hint="eastAsia" w:ascii="宋体" w:hAnsi="宋体" w:cs="宋体"/>
          <w:sz w:val="24"/>
          <w:szCs w:val="22"/>
        </w:rPr>
        <w:t>日内支付合同款项的</w:t>
      </w:r>
      <w:r>
        <w:rPr>
          <w:rFonts w:hint="eastAsia" w:ascii="宋体" w:hAnsi="宋体" w:cs="宋体"/>
          <w:sz w:val="24"/>
          <w:szCs w:val="22"/>
          <w:lang w:val="en-US" w:eastAsia="zh-CN"/>
        </w:rPr>
        <w:t>80</w:t>
      </w:r>
      <w:r>
        <w:rPr>
          <w:rFonts w:hint="eastAsia" w:ascii="宋体" w:hAnsi="宋体" w:cs="宋体"/>
          <w:sz w:val="24"/>
          <w:szCs w:val="22"/>
        </w:rPr>
        <w:t>%，</w:t>
      </w:r>
      <w:r>
        <w:rPr>
          <w:rFonts w:hint="eastAsia" w:ascii="宋体" w:hAnsi="宋体" w:cs="宋体"/>
          <w:sz w:val="24"/>
        </w:rPr>
        <w:t>服务完成之后支付合同款的</w:t>
      </w:r>
      <w:r>
        <w:rPr>
          <w:rFonts w:hint="eastAsia" w:ascii="宋体" w:hAnsi="宋体" w:cs="宋体"/>
          <w:sz w:val="24"/>
          <w:lang w:val="en-US" w:eastAsia="zh-CN"/>
        </w:rPr>
        <w:t>2</w:t>
      </w:r>
      <w:r>
        <w:rPr>
          <w:rFonts w:hint="eastAsia" w:ascii="宋体" w:hAnsi="宋体" w:cs="宋体"/>
          <w:sz w:val="24"/>
        </w:rPr>
        <w:t>0%。</w:t>
      </w:r>
    </w:p>
    <w:p>
      <w:pPr>
        <w:numPr>
          <w:ilvl w:val="0"/>
          <w:numId w:val="1"/>
        </w:numPr>
        <w:overflowPunct w:val="0"/>
        <w:topLinePunct/>
        <w:spacing w:line="360" w:lineRule="auto"/>
        <w:rPr>
          <w:rFonts w:ascii="宋体" w:hAnsi="宋体" w:cs="宋体"/>
          <w:b/>
          <w:sz w:val="24"/>
        </w:rPr>
      </w:pPr>
      <w:r>
        <w:rPr>
          <w:rFonts w:hint="eastAsia" w:ascii="宋体" w:hAnsi="宋体" w:cs="宋体"/>
          <w:b/>
          <w:sz w:val="24"/>
        </w:rPr>
        <w:t>知识产权</w:t>
      </w:r>
    </w:p>
    <w:p>
      <w:pPr>
        <w:tabs>
          <w:tab w:val="left" w:pos="1440"/>
        </w:tabs>
        <w:overflowPunct w:val="0"/>
        <w:topLinePunct/>
        <w:spacing w:line="360" w:lineRule="auto"/>
        <w:ind w:firstLine="480" w:firstLineChars="200"/>
        <w:rPr>
          <w:rFonts w:ascii="宋体" w:hAnsi="宋体" w:cs="宋体"/>
          <w:sz w:val="24"/>
        </w:rPr>
      </w:pPr>
      <w:r>
        <w:rPr>
          <w:rFonts w:hint="eastAsia" w:ascii="宋体" w:hAnsi="宋体" w:cs="宋体"/>
          <w:sz w:val="24"/>
        </w:rPr>
        <w:t>乙方应保证所提供的服务或其任何一部分均不会侵犯任何第三方的专利权、商标权或著作权。</w:t>
      </w:r>
    </w:p>
    <w:p>
      <w:pPr>
        <w:numPr>
          <w:ilvl w:val="0"/>
          <w:numId w:val="1"/>
        </w:numPr>
        <w:overflowPunct w:val="0"/>
        <w:topLinePunct/>
        <w:spacing w:line="360" w:lineRule="auto"/>
        <w:rPr>
          <w:rFonts w:ascii="宋体" w:hAnsi="宋体" w:cs="宋体"/>
          <w:b/>
          <w:sz w:val="24"/>
        </w:rPr>
      </w:pPr>
      <w:r>
        <w:rPr>
          <w:rFonts w:hint="eastAsia" w:ascii="宋体" w:hAnsi="宋体" w:cs="宋体"/>
          <w:b/>
          <w:sz w:val="24"/>
        </w:rPr>
        <w:t>无产权瑕疵条款</w:t>
      </w:r>
    </w:p>
    <w:p>
      <w:pPr>
        <w:tabs>
          <w:tab w:val="left" w:pos="1440"/>
        </w:tabs>
        <w:overflowPunct w:val="0"/>
        <w:topLinePunct/>
        <w:spacing w:line="360" w:lineRule="auto"/>
        <w:ind w:firstLine="480" w:firstLineChars="200"/>
        <w:rPr>
          <w:rFonts w:ascii="宋体" w:hAnsi="宋体" w:cs="宋体"/>
          <w:sz w:val="24"/>
        </w:rPr>
      </w:pPr>
      <w:r>
        <w:rPr>
          <w:rFonts w:hint="eastAsia" w:ascii="宋体" w:hAnsi="宋体" w:cs="宋体"/>
          <w:sz w:val="24"/>
        </w:rPr>
        <w:t>乙方保证所提供的服务的所有权完全属于乙方且无任何抵押、查封等产权瑕疵。如有产权瑕疵的，视为乙方违约。乙方应负担由此而产生的一切损失。</w:t>
      </w:r>
    </w:p>
    <w:p>
      <w:pPr>
        <w:numPr>
          <w:ilvl w:val="0"/>
          <w:numId w:val="1"/>
        </w:numPr>
        <w:overflowPunct w:val="0"/>
        <w:topLinePunct/>
        <w:spacing w:line="360" w:lineRule="auto"/>
        <w:rPr>
          <w:rFonts w:ascii="宋体" w:hAnsi="宋体" w:cs="宋体"/>
          <w:b/>
          <w:sz w:val="24"/>
        </w:rPr>
      </w:pPr>
      <w:r>
        <w:rPr>
          <w:rFonts w:hint="eastAsia" w:ascii="宋体" w:hAnsi="宋体" w:cs="宋体"/>
          <w:b/>
          <w:sz w:val="24"/>
        </w:rPr>
        <w:t>甲方的权利和义务</w:t>
      </w:r>
    </w:p>
    <w:p>
      <w:pPr>
        <w:overflowPunct w:val="0"/>
        <w:topLinePunct/>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1、甲方有权对合同规定范围内乙方的服务行为进行监督和检查，拥有监管权。有权定期核对乙方提供服务所配备的人员数量。对甲方认为不合理的部分有权下达整改通知书，并要求乙方限期整改。</w:t>
      </w:r>
    </w:p>
    <w:p>
      <w:pPr>
        <w:overflowPunct w:val="0"/>
        <w:topLinePunct/>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2、甲方有权依据双方签订的考评办法对乙方提供的服务进行定期考评。当考评结果未达到标准时，有权依据考评办法约定的数额扣除履约保证金。</w:t>
      </w:r>
    </w:p>
    <w:p>
      <w:pPr>
        <w:overflowPunct w:val="0"/>
        <w:topLinePunct/>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3、负责检查监督乙方管理工作的实施及制度的执行情况。</w:t>
      </w:r>
    </w:p>
    <w:p>
      <w:pPr>
        <w:overflowPunct w:val="0"/>
        <w:topLinePunct/>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4、根据本合同规定，按时向乙方支付应付服务费用。</w:t>
      </w:r>
    </w:p>
    <w:p>
      <w:pPr>
        <w:overflowPunct w:val="0"/>
        <w:topLinePunct/>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5、国家法律、法规所规定由甲方承担的其它责任。</w:t>
      </w:r>
    </w:p>
    <w:p>
      <w:pPr>
        <w:numPr>
          <w:ilvl w:val="0"/>
          <w:numId w:val="1"/>
        </w:numPr>
        <w:overflowPunct w:val="0"/>
        <w:topLinePunct/>
        <w:spacing w:line="360" w:lineRule="auto"/>
        <w:rPr>
          <w:rFonts w:ascii="宋体" w:hAnsi="宋体" w:cs="宋体"/>
          <w:b/>
          <w:sz w:val="24"/>
        </w:rPr>
      </w:pPr>
      <w:r>
        <w:rPr>
          <w:rFonts w:hint="eastAsia" w:ascii="宋体" w:hAnsi="宋体" w:cs="宋体"/>
          <w:b/>
          <w:sz w:val="24"/>
        </w:rPr>
        <w:t>乙方的权利和义务</w:t>
      </w:r>
    </w:p>
    <w:p>
      <w:pPr>
        <w:overflowPunct w:val="0"/>
        <w:topLinePunct/>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1、对本合同规定的委托服务范围内的项目享有管理权及服务义务。</w:t>
      </w:r>
    </w:p>
    <w:p>
      <w:pPr>
        <w:overflowPunct w:val="0"/>
        <w:topLinePunct/>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2、根据本合同的规定向甲方收取相关服务费用，并有权在本项目管理范围内管理及合理使用。</w:t>
      </w:r>
    </w:p>
    <w:p>
      <w:pPr>
        <w:overflowPunct w:val="0"/>
        <w:topLinePunct/>
        <w:adjustRightInd w:val="0"/>
        <w:spacing w:line="360" w:lineRule="auto"/>
        <w:ind w:firstLine="480" w:firstLineChars="200"/>
        <w:jc w:val="left"/>
        <w:textAlignment w:val="baseline"/>
        <w:rPr>
          <w:rFonts w:ascii="宋体" w:hAnsi="宋体" w:cs="宋体"/>
          <w:sz w:val="24"/>
        </w:rPr>
      </w:pPr>
      <w:r>
        <w:rPr>
          <w:rFonts w:hint="eastAsia" w:ascii="宋体" w:hAnsi="宋体" w:cs="宋体"/>
          <w:sz w:val="24"/>
        </w:rPr>
        <w:t>3、及时向甲方通告本项目服务范围内有关服务的重大事项，及时配合处理投诉。</w:t>
      </w:r>
    </w:p>
    <w:p>
      <w:pPr>
        <w:overflowPunct w:val="0"/>
        <w:topLinePunct/>
        <w:adjustRightInd w:val="0"/>
        <w:spacing w:line="360" w:lineRule="auto"/>
        <w:ind w:firstLine="480" w:firstLineChars="200"/>
        <w:jc w:val="left"/>
        <w:textAlignment w:val="baseline"/>
        <w:rPr>
          <w:rFonts w:ascii="宋体" w:hAnsi="宋体" w:cs="宋体"/>
          <w:bCs/>
          <w:sz w:val="24"/>
        </w:rPr>
      </w:pPr>
      <w:r>
        <w:rPr>
          <w:rFonts w:hint="eastAsia" w:ascii="宋体" w:hAnsi="宋体" w:cs="宋体"/>
          <w:sz w:val="24"/>
        </w:rPr>
        <w:t>4、</w:t>
      </w:r>
      <w:r>
        <w:rPr>
          <w:rFonts w:hint="eastAsia" w:ascii="宋体" w:hAnsi="宋体" w:cs="宋体"/>
          <w:bCs/>
          <w:sz w:val="24"/>
        </w:rPr>
        <w:t>接受项目行业管理部门及政府有关部门的指导，接受甲方的监督。</w:t>
      </w:r>
    </w:p>
    <w:p>
      <w:pPr>
        <w:overflowPunct w:val="0"/>
        <w:topLinePunct/>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5、国家法律、法规所规定由乙方承担的其它责任。</w:t>
      </w:r>
    </w:p>
    <w:p>
      <w:pPr>
        <w:numPr>
          <w:ilvl w:val="0"/>
          <w:numId w:val="1"/>
        </w:numPr>
        <w:overflowPunct w:val="0"/>
        <w:topLinePunct/>
        <w:spacing w:line="360" w:lineRule="auto"/>
        <w:rPr>
          <w:rFonts w:ascii="宋体" w:hAnsi="宋体" w:cs="宋体"/>
          <w:b/>
          <w:sz w:val="24"/>
        </w:rPr>
      </w:pPr>
      <w:r>
        <w:rPr>
          <w:rFonts w:hint="eastAsia" w:ascii="宋体" w:hAnsi="宋体" w:cs="宋体"/>
          <w:b/>
          <w:sz w:val="24"/>
        </w:rPr>
        <w:t>违约责任</w:t>
      </w:r>
    </w:p>
    <w:p>
      <w:pPr>
        <w:overflowPunct w:val="0"/>
        <w:topLinePunct/>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1、甲乙双方必须遵守本合同并执行合同中的各项规定，保证本合同的正常履行。</w:t>
      </w:r>
    </w:p>
    <w:p>
      <w:pPr>
        <w:overflowPunct w:val="0"/>
        <w:topLinePunct/>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1"/>
        </w:numPr>
        <w:overflowPunct w:val="0"/>
        <w:topLinePunct/>
        <w:spacing w:line="360" w:lineRule="auto"/>
        <w:rPr>
          <w:rFonts w:ascii="宋体" w:hAnsi="宋体" w:cs="宋体"/>
          <w:b/>
          <w:sz w:val="24"/>
        </w:rPr>
      </w:pPr>
      <w:r>
        <w:rPr>
          <w:rFonts w:hint="eastAsia" w:ascii="宋体" w:hAnsi="宋体" w:cs="宋体"/>
          <w:b/>
          <w:sz w:val="24"/>
        </w:rPr>
        <w:t>不可抗力事件处理</w:t>
      </w:r>
    </w:p>
    <w:p>
      <w:pPr>
        <w:tabs>
          <w:tab w:val="left" w:pos="0"/>
        </w:tabs>
        <w:overflowPunct w:val="0"/>
        <w:topLinePunct/>
        <w:spacing w:line="360" w:lineRule="auto"/>
        <w:ind w:firstLine="480" w:firstLineChars="200"/>
        <w:rPr>
          <w:rFonts w:ascii="宋体" w:hAnsi="宋体" w:cs="宋体"/>
          <w:sz w:val="24"/>
        </w:rPr>
      </w:pPr>
      <w:r>
        <w:rPr>
          <w:rFonts w:hint="eastAsia" w:ascii="宋体" w:hAnsi="宋体" w:cs="宋体"/>
          <w:sz w:val="24"/>
        </w:rPr>
        <w:t>1、在合同有效期内，任何一方因不可抗力事件导致不能履行合同，则合同履行期可延长，其延长期与不可抗力影响期相同。</w:t>
      </w:r>
    </w:p>
    <w:p>
      <w:pPr>
        <w:tabs>
          <w:tab w:val="left" w:pos="0"/>
        </w:tabs>
        <w:overflowPunct w:val="0"/>
        <w:topLinePunct/>
        <w:spacing w:line="360" w:lineRule="auto"/>
        <w:ind w:firstLine="480" w:firstLineChars="200"/>
        <w:rPr>
          <w:rFonts w:ascii="宋体" w:hAnsi="宋体" w:cs="宋体"/>
          <w:sz w:val="24"/>
        </w:rPr>
      </w:pPr>
      <w:r>
        <w:rPr>
          <w:rFonts w:hint="eastAsia" w:ascii="宋体" w:hAnsi="宋体" w:cs="宋体"/>
          <w:sz w:val="24"/>
        </w:rPr>
        <w:t>2、不可抗力事件发生后，应立即通知对方，并寄送有关权威机构出具的证明。</w:t>
      </w:r>
    </w:p>
    <w:p>
      <w:pPr>
        <w:tabs>
          <w:tab w:val="left" w:pos="0"/>
        </w:tabs>
        <w:overflowPunct w:val="0"/>
        <w:topLinePunct/>
        <w:spacing w:line="360" w:lineRule="auto"/>
        <w:ind w:firstLine="480" w:firstLineChars="200"/>
        <w:rPr>
          <w:rFonts w:ascii="宋体" w:hAnsi="宋体" w:cs="宋体"/>
          <w:sz w:val="24"/>
        </w:rPr>
      </w:pPr>
      <w:r>
        <w:rPr>
          <w:rFonts w:hint="eastAsia" w:ascii="宋体" w:hAnsi="宋体" w:cs="宋体"/>
          <w:sz w:val="24"/>
        </w:rPr>
        <w:t>3、不可抗力事件延续</w:t>
      </w:r>
      <w:r>
        <w:rPr>
          <w:rFonts w:hint="eastAsia" w:ascii="宋体" w:hAnsi="宋体" w:cs="宋体"/>
          <w:szCs w:val="21"/>
        </w:rPr>
        <w:t>XX</w:t>
      </w:r>
      <w:r>
        <w:rPr>
          <w:rFonts w:hint="eastAsia" w:ascii="宋体" w:hAnsi="宋体" w:cs="宋体"/>
          <w:sz w:val="24"/>
        </w:rPr>
        <w:t>天以上，双方应通过友好协商，确定是否继续履行合同。</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Pr>
        <w:numPr>
          <w:ilvl w:val="0"/>
          <w:numId w:val="1"/>
        </w:numPr>
        <w:overflowPunct w:val="0"/>
        <w:topLinePunct/>
        <w:spacing w:line="360" w:lineRule="auto"/>
        <w:rPr>
          <w:rFonts w:ascii="宋体" w:hAnsi="宋体" w:cs="宋体"/>
          <w:b/>
          <w:sz w:val="24"/>
        </w:rPr>
      </w:pPr>
      <w:bookmarkStart w:id="99" w:name="_Toc247334846"/>
      <w:bookmarkStart w:id="100" w:name="_Toc211854454"/>
      <w:bookmarkStart w:id="101" w:name="_Toc286993792"/>
      <w:bookmarkStart w:id="102" w:name="_Toc225670756"/>
      <w:bookmarkStart w:id="103" w:name="_Toc212019599"/>
      <w:bookmarkStart w:id="104" w:name="_Toc241833908"/>
      <w:bookmarkStart w:id="105" w:name="_Toc239568423"/>
      <w:bookmarkStart w:id="106" w:name="_Toc225654649"/>
      <w:bookmarkStart w:id="107" w:name="_Toc185395254"/>
      <w:bookmarkStart w:id="108" w:name="_Toc238984980"/>
      <w:bookmarkStart w:id="109" w:name="_Toc239233919"/>
      <w:bookmarkStart w:id="110" w:name="_Toc232492933"/>
      <w:bookmarkStart w:id="111" w:name="_Toc251768867"/>
      <w:bookmarkStart w:id="112" w:name="_Toc211911353"/>
      <w:bookmarkStart w:id="113" w:name="_Toc237145411"/>
      <w:bookmarkStart w:id="114" w:name="_Toc225244857"/>
      <w:r>
        <w:rPr>
          <w:rFonts w:hint="eastAsia" w:ascii="宋体" w:hAnsi="宋体" w:cs="宋体"/>
          <w:b/>
          <w:sz w:val="24"/>
        </w:rPr>
        <w:t>解决合同纠纷的方式</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tabs>
          <w:tab w:val="left" w:pos="0"/>
        </w:tabs>
        <w:overflowPunct w:val="0"/>
        <w:topLinePunct/>
        <w:spacing w:line="360" w:lineRule="auto"/>
        <w:ind w:firstLine="480" w:firstLineChars="200"/>
        <w:rPr>
          <w:rFonts w:ascii="宋体" w:hAnsi="宋体" w:cs="宋体"/>
          <w:sz w:val="24"/>
        </w:rPr>
      </w:pPr>
      <w:r>
        <w:rPr>
          <w:rFonts w:hint="eastAsia" w:ascii="宋体" w:hAnsi="宋体" w:cs="宋体"/>
          <w:sz w:val="24"/>
        </w:rPr>
        <w:t>1、在执行本合同中发生的或与本合同有关的争端，双方应通过友好协商解决，经协商在</w:t>
      </w:r>
      <w:r>
        <w:rPr>
          <w:rFonts w:hint="eastAsia" w:ascii="宋体" w:hAnsi="宋体" w:cs="宋体"/>
          <w:szCs w:val="21"/>
        </w:rPr>
        <w:t>XX</w:t>
      </w:r>
      <w:r>
        <w:rPr>
          <w:rFonts w:hint="eastAsia" w:ascii="宋体" w:hAnsi="宋体" w:cs="宋体"/>
          <w:sz w:val="24"/>
        </w:rPr>
        <w:t>天内不能达成协议时，应提交成都仲裁委员会仲裁。</w:t>
      </w:r>
    </w:p>
    <w:p>
      <w:pPr>
        <w:tabs>
          <w:tab w:val="left" w:pos="0"/>
        </w:tabs>
        <w:overflowPunct w:val="0"/>
        <w:topLinePunct/>
        <w:spacing w:line="360" w:lineRule="auto"/>
        <w:ind w:firstLine="480" w:firstLineChars="200"/>
        <w:rPr>
          <w:rFonts w:ascii="宋体" w:hAnsi="宋体" w:cs="宋体"/>
          <w:sz w:val="24"/>
        </w:rPr>
      </w:pPr>
      <w:r>
        <w:rPr>
          <w:rFonts w:hint="eastAsia" w:ascii="宋体" w:hAnsi="宋体" w:cs="宋体"/>
          <w:sz w:val="24"/>
        </w:rPr>
        <w:t>2、仲裁裁决应为最终决定，并对双方具有约束力。</w:t>
      </w:r>
    </w:p>
    <w:p>
      <w:pPr>
        <w:tabs>
          <w:tab w:val="left" w:pos="0"/>
        </w:tabs>
        <w:overflowPunct w:val="0"/>
        <w:topLinePunct/>
        <w:spacing w:line="360" w:lineRule="auto"/>
        <w:ind w:firstLine="480" w:firstLineChars="200"/>
        <w:rPr>
          <w:rFonts w:ascii="宋体" w:hAnsi="宋体" w:cs="宋体"/>
          <w:sz w:val="24"/>
        </w:rPr>
      </w:pPr>
      <w:r>
        <w:rPr>
          <w:rFonts w:hint="eastAsia" w:ascii="宋体" w:hAnsi="宋体" w:cs="宋体"/>
          <w:sz w:val="24"/>
        </w:rPr>
        <w:t xml:space="preserve">3、除另有裁决外，仲裁费应由败诉方负担。 </w:t>
      </w:r>
    </w:p>
    <w:p>
      <w:pPr>
        <w:tabs>
          <w:tab w:val="left" w:pos="0"/>
        </w:tabs>
        <w:overflowPunct w:val="0"/>
        <w:topLinePunct/>
        <w:spacing w:line="360" w:lineRule="auto"/>
        <w:ind w:firstLine="480" w:firstLineChars="200"/>
        <w:rPr>
          <w:rFonts w:ascii="宋体" w:hAnsi="宋体" w:cs="宋体"/>
          <w:sz w:val="24"/>
        </w:rPr>
      </w:pPr>
      <w:r>
        <w:rPr>
          <w:rFonts w:hint="eastAsia" w:ascii="宋体" w:hAnsi="宋体" w:cs="宋体"/>
          <w:sz w:val="24"/>
        </w:rPr>
        <w:t xml:space="preserve">4、在仲裁期间，除正在进行仲裁部分外，合同其他部分继续执行。  </w:t>
      </w:r>
    </w:p>
    <w:p>
      <w:pPr>
        <w:numPr>
          <w:ilvl w:val="0"/>
          <w:numId w:val="1"/>
        </w:numPr>
        <w:overflowPunct w:val="0"/>
        <w:topLinePunct/>
        <w:spacing w:line="360" w:lineRule="auto"/>
        <w:rPr>
          <w:rFonts w:ascii="宋体" w:hAnsi="宋体" w:cs="宋体"/>
          <w:b/>
          <w:sz w:val="24"/>
        </w:rPr>
      </w:pPr>
      <w:bookmarkStart w:id="115" w:name="_Toc211854455"/>
      <w:bookmarkStart w:id="116" w:name="_Toc251768868"/>
      <w:bookmarkStart w:id="117" w:name="_Toc282696231"/>
      <w:bookmarkStart w:id="118" w:name="_Toc225670757"/>
      <w:bookmarkStart w:id="119" w:name="_Toc239568424"/>
      <w:bookmarkStart w:id="120" w:name="_Toc212019600"/>
      <w:bookmarkStart w:id="121" w:name="_Toc232492934"/>
      <w:bookmarkStart w:id="122" w:name="_Toc239233920"/>
      <w:bookmarkStart w:id="123" w:name="_Toc241833909"/>
      <w:bookmarkStart w:id="124" w:name="_Toc225654650"/>
      <w:bookmarkStart w:id="125" w:name="_Toc185395255"/>
      <w:bookmarkStart w:id="126" w:name="_Toc237145412"/>
      <w:bookmarkStart w:id="127" w:name="_Toc225244858"/>
      <w:bookmarkStart w:id="128" w:name="_Toc286993793"/>
      <w:bookmarkStart w:id="129" w:name="_Toc283019219"/>
      <w:bookmarkStart w:id="130" w:name="_Toc211911354"/>
      <w:bookmarkStart w:id="131" w:name="_Toc247334847"/>
      <w:bookmarkStart w:id="132" w:name="_Toc238984981"/>
      <w:r>
        <w:rPr>
          <w:rFonts w:hint="eastAsia" w:ascii="宋体" w:hAnsi="宋体" w:cs="宋体"/>
          <w:b/>
          <w:sz w:val="24"/>
        </w:rPr>
        <w:t>合同</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ascii="宋体" w:hAnsi="宋体" w:cs="宋体"/>
          <w:b/>
          <w:sz w:val="24"/>
        </w:rPr>
        <w:t>生效及其他</w:t>
      </w:r>
    </w:p>
    <w:p>
      <w:pPr>
        <w:pStyle w:val="21"/>
        <w:overflowPunct w:val="0"/>
        <w:topLinePunct/>
        <w:spacing w:line="360" w:lineRule="auto"/>
        <w:ind w:firstLine="480"/>
        <w:rPr>
          <w:rFonts w:ascii="宋体" w:hAnsi="宋体" w:cs="宋体"/>
          <w:sz w:val="24"/>
        </w:rPr>
      </w:pPr>
      <w:r>
        <w:rPr>
          <w:rFonts w:hint="eastAsia" w:ascii="宋体" w:hAnsi="宋体" w:cs="宋体"/>
          <w:sz w:val="24"/>
        </w:rPr>
        <w:t>1、合同经双方法定代表人或授权委托代理人签字并加盖单位公章后生效。</w:t>
      </w:r>
    </w:p>
    <w:p>
      <w:pPr>
        <w:pStyle w:val="21"/>
        <w:overflowPunct w:val="0"/>
        <w:topLinePunct/>
        <w:spacing w:line="360" w:lineRule="auto"/>
        <w:ind w:firstLine="480"/>
        <w:rPr>
          <w:rFonts w:ascii="宋体" w:hAnsi="宋体" w:cs="宋体"/>
          <w:sz w:val="24"/>
        </w:rPr>
      </w:pPr>
      <w:r>
        <w:rPr>
          <w:rFonts w:hint="eastAsia" w:ascii="宋体" w:hAnsi="宋体" w:cs="宋体"/>
          <w:sz w:val="24"/>
        </w:rPr>
        <w:t>2、合同执行中涉及采购资金和采购内容修改或补充的，须经政府采购监管部门审批，并签书面补充协议报政府采购监督管理部门备案，方可作为主合同不可分割的一部分。</w:t>
      </w:r>
    </w:p>
    <w:p>
      <w:pPr>
        <w:pStyle w:val="21"/>
        <w:overflowPunct w:val="0"/>
        <w:topLinePunct/>
        <w:spacing w:line="360" w:lineRule="auto"/>
        <w:ind w:firstLine="480"/>
        <w:rPr>
          <w:rFonts w:ascii="宋体" w:hAnsi="宋体" w:cs="宋体"/>
          <w:sz w:val="24"/>
        </w:rPr>
      </w:pPr>
      <w:r>
        <w:rPr>
          <w:rFonts w:hint="eastAsia" w:ascii="宋体" w:hAnsi="宋体" w:cs="宋体"/>
          <w:sz w:val="24"/>
        </w:rPr>
        <w:t>3、本合同一式</w:t>
      </w:r>
      <w:r>
        <w:rPr>
          <w:rFonts w:hint="eastAsia" w:ascii="宋体" w:hAnsi="宋体" w:cs="宋体"/>
          <w:szCs w:val="21"/>
        </w:rPr>
        <w:t>XX</w:t>
      </w:r>
      <w:r>
        <w:rPr>
          <w:rFonts w:hint="eastAsia" w:ascii="宋体" w:hAnsi="宋体" w:cs="宋体"/>
          <w:sz w:val="24"/>
        </w:rPr>
        <w:t>份，自双方签章之日起起效。甲方</w:t>
      </w:r>
      <w:r>
        <w:rPr>
          <w:rFonts w:hint="eastAsia" w:ascii="宋体" w:hAnsi="宋体" w:cs="宋体"/>
          <w:szCs w:val="21"/>
        </w:rPr>
        <w:t>XX</w:t>
      </w:r>
      <w:r>
        <w:rPr>
          <w:rFonts w:hint="eastAsia" w:ascii="宋体" w:hAnsi="宋体" w:cs="宋体"/>
          <w:sz w:val="24"/>
        </w:rPr>
        <w:t>份，乙方</w:t>
      </w:r>
      <w:r>
        <w:rPr>
          <w:rFonts w:hint="eastAsia" w:ascii="宋体" w:hAnsi="宋体" w:cs="宋体"/>
          <w:szCs w:val="21"/>
        </w:rPr>
        <w:t>XX</w:t>
      </w:r>
      <w:r>
        <w:rPr>
          <w:rFonts w:hint="eastAsia" w:ascii="宋体" w:hAnsi="宋体" w:cs="宋体"/>
          <w:sz w:val="24"/>
        </w:rPr>
        <w:t>份，政府采购单位</w:t>
      </w:r>
      <w:r>
        <w:rPr>
          <w:rFonts w:hint="eastAsia" w:ascii="宋体" w:hAnsi="宋体" w:cs="宋体"/>
          <w:szCs w:val="21"/>
        </w:rPr>
        <w:t>XX</w:t>
      </w:r>
      <w:r>
        <w:rPr>
          <w:rFonts w:hint="eastAsia" w:ascii="宋体" w:hAnsi="宋体" w:cs="宋体"/>
          <w:sz w:val="24"/>
        </w:rPr>
        <w:t>份，同级财政部门备案</w:t>
      </w:r>
      <w:r>
        <w:rPr>
          <w:rFonts w:hint="eastAsia" w:ascii="宋体" w:hAnsi="宋体" w:cs="宋体"/>
          <w:szCs w:val="21"/>
        </w:rPr>
        <w:t>XX</w:t>
      </w:r>
      <w:r>
        <w:rPr>
          <w:rFonts w:hint="eastAsia" w:ascii="宋体" w:hAnsi="宋体" w:cs="宋体"/>
          <w:sz w:val="24"/>
        </w:rPr>
        <w:t>份，具有同等法律效力。</w:t>
      </w:r>
    </w:p>
    <w:p>
      <w:pPr>
        <w:numPr>
          <w:ilvl w:val="0"/>
          <w:numId w:val="1"/>
        </w:numPr>
        <w:overflowPunct w:val="0"/>
        <w:topLinePunct/>
        <w:spacing w:line="360" w:lineRule="auto"/>
        <w:rPr>
          <w:rFonts w:ascii="宋体" w:hAnsi="宋体" w:cs="宋体"/>
          <w:b/>
          <w:sz w:val="24"/>
        </w:rPr>
      </w:pPr>
      <w:r>
        <w:rPr>
          <w:rFonts w:hint="eastAsia" w:ascii="宋体" w:hAnsi="宋体" w:cs="宋体"/>
          <w:b/>
          <w:sz w:val="24"/>
        </w:rPr>
        <w:t>附件</w:t>
      </w:r>
    </w:p>
    <w:p>
      <w:pPr>
        <w:pStyle w:val="21"/>
        <w:overflowPunct w:val="0"/>
        <w:topLinePunct/>
        <w:spacing w:line="360" w:lineRule="auto"/>
        <w:ind w:firstLine="480"/>
        <w:rPr>
          <w:rFonts w:ascii="宋体" w:hAnsi="宋体" w:cs="宋体"/>
          <w:sz w:val="24"/>
        </w:rPr>
      </w:pPr>
      <w:r>
        <w:rPr>
          <w:rFonts w:hint="eastAsia" w:ascii="宋体" w:hAnsi="宋体" w:cs="宋体"/>
          <w:sz w:val="24"/>
        </w:rPr>
        <w:t>1、项目招标文件</w:t>
      </w:r>
    </w:p>
    <w:p>
      <w:pPr>
        <w:pStyle w:val="21"/>
        <w:overflowPunct w:val="0"/>
        <w:topLinePunct/>
        <w:spacing w:line="360" w:lineRule="auto"/>
        <w:ind w:firstLine="480"/>
        <w:rPr>
          <w:rFonts w:ascii="宋体" w:hAnsi="宋体" w:cs="宋体"/>
          <w:sz w:val="24"/>
        </w:rPr>
      </w:pPr>
      <w:r>
        <w:rPr>
          <w:rFonts w:hint="eastAsia" w:ascii="宋体" w:hAnsi="宋体" w:cs="宋体"/>
          <w:sz w:val="24"/>
        </w:rPr>
        <w:t>2、项目修改澄清文件</w:t>
      </w:r>
    </w:p>
    <w:p>
      <w:pPr>
        <w:pStyle w:val="21"/>
        <w:overflowPunct w:val="0"/>
        <w:topLinePunct/>
        <w:spacing w:line="360" w:lineRule="auto"/>
        <w:ind w:firstLine="480"/>
        <w:rPr>
          <w:rFonts w:ascii="宋体" w:hAnsi="宋体" w:cs="宋体"/>
          <w:sz w:val="24"/>
        </w:rPr>
      </w:pPr>
      <w:r>
        <w:rPr>
          <w:rFonts w:hint="eastAsia" w:ascii="宋体" w:hAnsi="宋体" w:cs="宋体"/>
          <w:sz w:val="24"/>
        </w:rPr>
        <w:t>3、项目响应文件</w:t>
      </w:r>
    </w:p>
    <w:p>
      <w:pPr>
        <w:pStyle w:val="21"/>
        <w:overflowPunct w:val="0"/>
        <w:topLinePunct/>
        <w:spacing w:line="360" w:lineRule="auto"/>
        <w:ind w:firstLine="480"/>
        <w:rPr>
          <w:rFonts w:ascii="宋体" w:hAnsi="宋体" w:cs="宋体"/>
          <w:sz w:val="24"/>
        </w:rPr>
      </w:pPr>
      <w:r>
        <w:rPr>
          <w:rFonts w:hint="eastAsia" w:ascii="宋体" w:hAnsi="宋体" w:cs="宋体"/>
          <w:sz w:val="24"/>
        </w:rPr>
        <w:t>4、中标通知书</w:t>
      </w:r>
    </w:p>
    <w:p>
      <w:pPr>
        <w:pStyle w:val="21"/>
        <w:overflowPunct w:val="0"/>
        <w:topLinePunct/>
        <w:spacing w:line="360" w:lineRule="auto"/>
        <w:ind w:firstLine="480"/>
        <w:rPr>
          <w:rFonts w:ascii="宋体" w:hAnsi="宋体" w:cs="宋体"/>
          <w:sz w:val="24"/>
        </w:rPr>
      </w:pPr>
      <w:r>
        <w:rPr>
          <w:rFonts w:hint="eastAsia" w:ascii="宋体" w:hAnsi="宋体" w:cs="宋体"/>
          <w:sz w:val="24"/>
        </w:rPr>
        <w:t>5、其他</w:t>
      </w:r>
    </w:p>
    <w:p>
      <w:pPr>
        <w:overflowPunct w:val="0"/>
        <w:topLinePunct/>
        <w:spacing w:line="360" w:lineRule="auto"/>
        <w:rPr>
          <w:rFonts w:ascii="宋体" w:hAnsi="宋体" w:cs="宋体"/>
          <w:sz w:val="24"/>
        </w:rPr>
      </w:pPr>
    </w:p>
    <w:p>
      <w:pPr>
        <w:overflowPunct w:val="0"/>
        <w:topLinePunct/>
        <w:spacing w:line="400" w:lineRule="exact"/>
        <w:ind w:firstLine="480" w:firstLineChars="200"/>
        <w:rPr>
          <w:rFonts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overflowPunct w:val="0"/>
        <w:topLinePunct/>
        <w:spacing w:line="400" w:lineRule="exact"/>
        <w:ind w:firstLine="480" w:firstLineChars="200"/>
        <w:rPr>
          <w:rFonts w:ascii="宋体" w:hAnsi="宋体" w:cs="宋体"/>
          <w:sz w:val="24"/>
        </w:rPr>
      </w:pPr>
      <w:r>
        <w:rPr>
          <w:rFonts w:hint="eastAsia" w:ascii="宋体" w:hAnsi="宋体" w:cs="宋体"/>
          <w:sz w:val="24"/>
        </w:rPr>
        <w:t>法定代表人（授权代表）：            法定代表人（授权代表）：</w:t>
      </w:r>
    </w:p>
    <w:p>
      <w:pPr>
        <w:overflowPunct w:val="0"/>
        <w:topLinePunct/>
        <w:spacing w:line="400" w:lineRule="exact"/>
        <w:ind w:firstLine="480" w:firstLineChars="200"/>
        <w:rPr>
          <w:rFonts w:ascii="宋体" w:hAnsi="宋体" w:cs="宋体"/>
          <w:sz w:val="24"/>
        </w:rPr>
      </w:pPr>
      <w:r>
        <w:rPr>
          <w:rFonts w:hint="eastAsia" w:ascii="宋体" w:hAnsi="宋体" w:cs="宋体"/>
          <w:sz w:val="24"/>
        </w:rPr>
        <w:t>地    址：                         地    址：</w:t>
      </w:r>
    </w:p>
    <w:p>
      <w:pPr>
        <w:overflowPunct w:val="0"/>
        <w:topLinePunct/>
        <w:spacing w:line="400" w:lineRule="exact"/>
        <w:ind w:firstLine="480" w:firstLineChars="200"/>
        <w:rPr>
          <w:rFonts w:ascii="宋体" w:hAnsi="宋体" w:cs="宋体"/>
          <w:sz w:val="24"/>
        </w:rPr>
      </w:pPr>
      <w:r>
        <w:rPr>
          <w:rFonts w:hint="eastAsia" w:ascii="宋体" w:hAnsi="宋体" w:cs="宋体"/>
          <w:sz w:val="24"/>
        </w:rPr>
        <w:t>开户银行：                         开户银行：</w:t>
      </w:r>
    </w:p>
    <w:p>
      <w:pPr>
        <w:overflowPunct w:val="0"/>
        <w:topLinePunct/>
        <w:spacing w:line="400" w:lineRule="exact"/>
        <w:ind w:firstLine="480" w:firstLineChars="200"/>
        <w:rPr>
          <w:rFonts w:ascii="宋体" w:hAnsi="宋体" w:cs="宋体"/>
          <w:sz w:val="24"/>
        </w:rPr>
      </w:pPr>
      <w:r>
        <w:rPr>
          <w:rFonts w:hint="eastAsia" w:ascii="宋体" w:hAnsi="宋体" w:cs="宋体"/>
          <w:sz w:val="24"/>
        </w:rPr>
        <w:t>账号：                             账号：</w:t>
      </w:r>
    </w:p>
    <w:p>
      <w:pPr>
        <w:overflowPunct w:val="0"/>
        <w:topLinePunct/>
        <w:spacing w:line="400" w:lineRule="exact"/>
        <w:ind w:firstLine="480" w:firstLineChars="200"/>
        <w:rPr>
          <w:rFonts w:ascii="宋体" w:hAnsi="宋体" w:cs="宋体"/>
          <w:sz w:val="24"/>
        </w:rPr>
      </w:pPr>
      <w:r>
        <w:rPr>
          <w:rFonts w:hint="eastAsia" w:ascii="宋体" w:hAnsi="宋体" w:cs="宋体"/>
          <w:sz w:val="24"/>
        </w:rPr>
        <w:t>电    话：                         电    话：</w:t>
      </w:r>
    </w:p>
    <w:p>
      <w:pPr>
        <w:overflowPunct w:val="0"/>
        <w:topLinePunct/>
        <w:spacing w:line="400" w:lineRule="exact"/>
        <w:ind w:firstLine="480" w:firstLineChars="200"/>
        <w:rPr>
          <w:rFonts w:ascii="宋体" w:hAnsi="宋体" w:cs="宋体"/>
          <w:sz w:val="24"/>
        </w:rPr>
      </w:pPr>
      <w:r>
        <w:rPr>
          <w:rFonts w:hint="eastAsia" w:ascii="宋体" w:hAnsi="宋体" w:cs="宋体"/>
          <w:sz w:val="24"/>
        </w:rPr>
        <w:t>传    真：                         传    真：</w:t>
      </w:r>
    </w:p>
    <w:p>
      <w:pPr>
        <w:overflowPunct w:val="0"/>
        <w:topLinePunct/>
        <w:spacing w:line="400" w:lineRule="exact"/>
        <w:ind w:firstLine="480" w:firstLineChars="200"/>
        <w:rPr>
          <w:rFonts w:ascii="宋体" w:hAnsi="宋体" w:cs="宋体"/>
          <w:sz w:val="24"/>
        </w:rPr>
      </w:pPr>
      <w:r>
        <w:rPr>
          <w:rFonts w:hint="eastAsia" w:ascii="宋体" w:hAnsi="宋体" w:cs="宋体"/>
          <w:sz w:val="24"/>
        </w:rPr>
        <w:t>签约日期：</w:t>
      </w:r>
      <w:r>
        <w:rPr>
          <w:rFonts w:hint="eastAsia" w:ascii="宋体" w:hAnsi="宋体" w:cs="宋体"/>
          <w:szCs w:val="21"/>
        </w:rPr>
        <w:t>XX</w:t>
      </w:r>
      <w:r>
        <w:rPr>
          <w:rFonts w:hint="eastAsia" w:ascii="宋体" w:hAnsi="宋体" w:cs="宋体"/>
          <w:sz w:val="24"/>
        </w:rPr>
        <w:t>年</w:t>
      </w:r>
      <w:r>
        <w:rPr>
          <w:rFonts w:hint="eastAsia" w:ascii="宋体" w:hAnsi="宋体" w:cs="宋体"/>
          <w:szCs w:val="21"/>
        </w:rPr>
        <w:t>XX</w:t>
      </w:r>
      <w:r>
        <w:rPr>
          <w:rFonts w:hint="eastAsia" w:ascii="宋体" w:hAnsi="宋体" w:cs="宋体"/>
          <w:sz w:val="24"/>
        </w:rPr>
        <w:t>月</w:t>
      </w:r>
      <w:r>
        <w:rPr>
          <w:rFonts w:hint="eastAsia" w:ascii="宋体" w:hAnsi="宋体" w:cs="宋体"/>
          <w:szCs w:val="21"/>
        </w:rPr>
        <w:t>XX</w:t>
      </w:r>
      <w:r>
        <w:rPr>
          <w:rFonts w:hint="eastAsia" w:ascii="宋体" w:hAnsi="宋体" w:cs="宋体"/>
          <w:sz w:val="24"/>
        </w:rPr>
        <w:t xml:space="preserve">日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签约日期：</w:t>
      </w:r>
      <w:r>
        <w:rPr>
          <w:rFonts w:hint="eastAsia" w:ascii="宋体" w:hAnsi="宋体" w:cs="宋体"/>
          <w:szCs w:val="21"/>
        </w:rPr>
        <w:t>XX</w:t>
      </w:r>
      <w:r>
        <w:rPr>
          <w:rFonts w:hint="eastAsia" w:ascii="宋体" w:hAnsi="宋体" w:cs="宋体"/>
          <w:sz w:val="24"/>
        </w:rPr>
        <w:t>年</w:t>
      </w:r>
      <w:r>
        <w:rPr>
          <w:rFonts w:hint="eastAsia" w:ascii="宋体" w:hAnsi="宋体" w:cs="宋体"/>
          <w:szCs w:val="21"/>
        </w:rPr>
        <w:t>XX</w:t>
      </w:r>
      <w:r>
        <w:rPr>
          <w:rFonts w:hint="eastAsia" w:ascii="宋体" w:hAnsi="宋体" w:cs="宋体"/>
          <w:sz w:val="24"/>
        </w:rPr>
        <w:t>月</w:t>
      </w:r>
      <w:r>
        <w:rPr>
          <w:rFonts w:hint="eastAsia" w:ascii="宋体" w:hAnsi="宋体" w:cs="宋体"/>
          <w:szCs w:val="21"/>
        </w:rPr>
        <w:t>XX日</w:t>
      </w:r>
    </w:p>
    <w:p>
      <w:pPr>
        <w:overflowPunct w:val="0"/>
        <w:topLinePunct/>
        <w:rPr>
          <w:rFonts w:ascii="宋体" w:hAnsi="宋体" w:cs="宋体"/>
        </w:rPr>
      </w:pPr>
      <w:bookmarkStart w:id="133" w:name="_Toc2135"/>
    </w:p>
    <w:p>
      <w:pPr>
        <w:overflowPunct w:val="0"/>
        <w:topLinePunct/>
        <w:jc w:val="center"/>
        <w:rPr>
          <w:rFonts w:hint="eastAsia" w:ascii="宋体" w:hAnsi="宋体" w:eastAsia="宋体" w:cs="宋体"/>
          <w:b/>
          <w:kern w:val="44"/>
          <w:sz w:val="30"/>
          <w:szCs w:val="30"/>
          <w:lang w:val="en-US" w:eastAsia="zh-CN" w:bidi="ar-SA"/>
        </w:rPr>
      </w:pPr>
      <w:bookmarkStart w:id="134" w:name="_Toc26782"/>
      <w:bookmarkStart w:id="135" w:name="_Toc61359385"/>
      <w:r>
        <w:rPr>
          <w:rFonts w:hint="eastAsia" w:ascii="宋体" w:hAnsi="宋体" w:eastAsia="宋体" w:cs="宋体"/>
          <w:b/>
          <w:kern w:val="44"/>
          <w:sz w:val="30"/>
          <w:szCs w:val="30"/>
          <w:lang w:val="en-US" w:eastAsia="zh-CN" w:bidi="ar-SA"/>
        </w:rPr>
        <w:t>十三、采购项目履约验收标准和要求</w:t>
      </w:r>
      <w:bookmarkEnd w:id="133"/>
      <w:bookmarkEnd w:id="134"/>
      <w:bookmarkEnd w:id="135"/>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1.磋商文件中的相关规定、合同条款要求及相关法律法规或行业规定。</w:t>
      </w:r>
    </w:p>
    <w:p>
      <w:pPr>
        <w:overflowPunct w:val="0"/>
        <w:topLinePunct/>
        <w:spacing w:line="360" w:lineRule="auto"/>
        <w:ind w:firstLine="480" w:firstLineChars="200"/>
        <w:rPr>
          <w:rFonts w:ascii="宋体" w:hAnsi="宋体" w:cs="宋体"/>
          <w:sz w:val="24"/>
          <w:szCs w:val="24"/>
        </w:rPr>
      </w:pPr>
      <w:r>
        <w:rPr>
          <w:rFonts w:hint="eastAsia" w:ascii="宋体" w:hAnsi="宋体" w:cs="宋体"/>
          <w:sz w:val="24"/>
          <w:szCs w:val="24"/>
        </w:rPr>
        <w:t>2.按照《四川省政府采购项目需求论证和履约验收管理办法》（川财采[2015]32号）文件的要求进行履约验收。</w:t>
      </w:r>
    </w:p>
    <w:p>
      <w:pPr>
        <w:overflowPunct w:val="0"/>
        <w:topLinePunct/>
        <w:rPr>
          <w:rFonts w:ascii="宋体" w:hAnsi="宋体" w:cs="宋体"/>
          <w:sz w:val="28"/>
          <w:szCs w:val="28"/>
        </w:rPr>
      </w:pPr>
    </w:p>
    <w:p>
      <w:pPr>
        <w:overflowPunct w:val="0"/>
        <w:topLinePunct/>
        <w:rPr>
          <w:rFonts w:ascii="宋体" w:hAnsi="宋体" w:cs="宋体"/>
          <w:sz w:val="28"/>
          <w:szCs w:val="28"/>
        </w:rPr>
      </w:pPr>
    </w:p>
    <w:p>
      <w:pPr>
        <w:overflowPunct w:val="0"/>
        <w:topLinePunct/>
        <w:rPr>
          <w:rFonts w:ascii="宋体" w:hAnsi="宋体" w:cs="宋体"/>
          <w:sz w:val="28"/>
          <w:szCs w:val="28"/>
        </w:rPr>
      </w:pPr>
    </w:p>
    <w:p>
      <w:pPr>
        <w:overflowPunct w:val="0"/>
        <w:topLinePunct/>
        <w:rPr>
          <w:rFonts w:ascii="宋体" w:hAnsi="宋体" w:cs="宋体"/>
          <w:sz w:val="28"/>
          <w:szCs w:val="28"/>
        </w:rPr>
      </w:pPr>
    </w:p>
    <w:p>
      <w:pPr>
        <w:overflowPunct w:val="0"/>
        <w:topLinePunct/>
      </w:pPr>
    </w:p>
    <w:sectPr>
      <w:headerReference r:id="rId3" w:type="default"/>
      <w:footerReference r:id="rId5" w:type="default"/>
      <w:headerReference r:id="rId4" w:type="even"/>
      <w:footerReference r:id="rId6" w:type="even"/>
      <w:pgSz w:w="11907" w:h="16840"/>
      <w:pgMar w:top="1418" w:right="1361" w:bottom="1304" w:left="1361"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15</w:t>
    </w:r>
    <w:r>
      <w:fldChar w:fldCharType="end"/>
    </w:r>
  </w:p>
  <w:p>
    <w:pPr>
      <w:pStyle w:val="8"/>
      <w:ind w:right="360"/>
      <w:rPr>
        <w:rStyle w:val="15"/>
        <w:kern w:val="0"/>
      </w:rPr>
    </w:pP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0</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89271C8"/>
    <w:rsid w:val="0002411B"/>
    <w:rsid w:val="000362C8"/>
    <w:rsid w:val="00036D74"/>
    <w:rsid w:val="00037894"/>
    <w:rsid w:val="000414DB"/>
    <w:rsid w:val="00042007"/>
    <w:rsid w:val="0004490B"/>
    <w:rsid w:val="00050773"/>
    <w:rsid w:val="000663A8"/>
    <w:rsid w:val="00093378"/>
    <w:rsid w:val="00096F42"/>
    <w:rsid w:val="000B3047"/>
    <w:rsid w:val="000B607A"/>
    <w:rsid w:val="000C7206"/>
    <w:rsid w:val="00102C03"/>
    <w:rsid w:val="00115DC8"/>
    <w:rsid w:val="00116BA2"/>
    <w:rsid w:val="001524E3"/>
    <w:rsid w:val="001555EA"/>
    <w:rsid w:val="00177239"/>
    <w:rsid w:val="0019289E"/>
    <w:rsid w:val="001929EA"/>
    <w:rsid w:val="001B115E"/>
    <w:rsid w:val="001B5719"/>
    <w:rsid w:val="001B745C"/>
    <w:rsid w:val="001D0E96"/>
    <w:rsid w:val="001D18D2"/>
    <w:rsid w:val="001E1497"/>
    <w:rsid w:val="001F75E0"/>
    <w:rsid w:val="002118EA"/>
    <w:rsid w:val="00220D3F"/>
    <w:rsid w:val="00236E98"/>
    <w:rsid w:val="00265BEC"/>
    <w:rsid w:val="002743DF"/>
    <w:rsid w:val="002743E8"/>
    <w:rsid w:val="00281BCF"/>
    <w:rsid w:val="00283D77"/>
    <w:rsid w:val="00294DDC"/>
    <w:rsid w:val="00296583"/>
    <w:rsid w:val="002B69B0"/>
    <w:rsid w:val="002C047F"/>
    <w:rsid w:val="002C3FCE"/>
    <w:rsid w:val="002D2413"/>
    <w:rsid w:val="002E16E8"/>
    <w:rsid w:val="002E69B9"/>
    <w:rsid w:val="002F5C9A"/>
    <w:rsid w:val="00321246"/>
    <w:rsid w:val="0032583F"/>
    <w:rsid w:val="00332A1F"/>
    <w:rsid w:val="00364A0C"/>
    <w:rsid w:val="00370805"/>
    <w:rsid w:val="003709C8"/>
    <w:rsid w:val="00371155"/>
    <w:rsid w:val="00372A3F"/>
    <w:rsid w:val="00384CC7"/>
    <w:rsid w:val="003C415D"/>
    <w:rsid w:val="003C552D"/>
    <w:rsid w:val="003D5347"/>
    <w:rsid w:val="003D53A0"/>
    <w:rsid w:val="00417CFB"/>
    <w:rsid w:val="00442F6E"/>
    <w:rsid w:val="00446AA0"/>
    <w:rsid w:val="00477ED2"/>
    <w:rsid w:val="00483611"/>
    <w:rsid w:val="004867A8"/>
    <w:rsid w:val="00490DCA"/>
    <w:rsid w:val="004911EE"/>
    <w:rsid w:val="004E147D"/>
    <w:rsid w:val="004E7474"/>
    <w:rsid w:val="004F7B6F"/>
    <w:rsid w:val="00507DC5"/>
    <w:rsid w:val="00514520"/>
    <w:rsid w:val="00515DE4"/>
    <w:rsid w:val="0056036A"/>
    <w:rsid w:val="00567C6B"/>
    <w:rsid w:val="00581282"/>
    <w:rsid w:val="005B0178"/>
    <w:rsid w:val="005B7BFF"/>
    <w:rsid w:val="005C2344"/>
    <w:rsid w:val="005C34D0"/>
    <w:rsid w:val="005C3800"/>
    <w:rsid w:val="005C7D71"/>
    <w:rsid w:val="005D719E"/>
    <w:rsid w:val="00617ECA"/>
    <w:rsid w:val="0062553C"/>
    <w:rsid w:val="00653C86"/>
    <w:rsid w:val="006602E9"/>
    <w:rsid w:val="00667BBA"/>
    <w:rsid w:val="0068339B"/>
    <w:rsid w:val="00686C9E"/>
    <w:rsid w:val="006D3F1B"/>
    <w:rsid w:val="006E6D1C"/>
    <w:rsid w:val="006F2E1C"/>
    <w:rsid w:val="00730553"/>
    <w:rsid w:val="00764B0B"/>
    <w:rsid w:val="00793F98"/>
    <w:rsid w:val="007A1817"/>
    <w:rsid w:val="007A2C48"/>
    <w:rsid w:val="007C12DB"/>
    <w:rsid w:val="007E0CE3"/>
    <w:rsid w:val="007F0213"/>
    <w:rsid w:val="00805B98"/>
    <w:rsid w:val="0083386E"/>
    <w:rsid w:val="00856511"/>
    <w:rsid w:val="00856706"/>
    <w:rsid w:val="0086404B"/>
    <w:rsid w:val="0086488A"/>
    <w:rsid w:val="00870934"/>
    <w:rsid w:val="0087207C"/>
    <w:rsid w:val="008A2605"/>
    <w:rsid w:val="008F195E"/>
    <w:rsid w:val="008F5324"/>
    <w:rsid w:val="008F7ED8"/>
    <w:rsid w:val="00901672"/>
    <w:rsid w:val="0094326E"/>
    <w:rsid w:val="0096528F"/>
    <w:rsid w:val="00991144"/>
    <w:rsid w:val="009A6E85"/>
    <w:rsid w:val="009B2CB4"/>
    <w:rsid w:val="009B5065"/>
    <w:rsid w:val="009C13F1"/>
    <w:rsid w:val="009C4AF5"/>
    <w:rsid w:val="009C793A"/>
    <w:rsid w:val="009E19CF"/>
    <w:rsid w:val="00A06D3F"/>
    <w:rsid w:val="00A313BA"/>
    <w:rsid w:val="00A32423"/>
    <w:rsid w:val="00A37E9D"/>
    <w:rsid w:val="00A40153"/>
    <w:rsid w:val="00A42C46"/>
    <w:rsid w:val="00A55BDC"/>
    <w:rsid w:val="00A56FCF"/>
    <w:rsid w:val="00A66CF5"/>
    <w:rsid w:val="00A76C45"/>
    <w:rsid w:val="00A86E1A"/>
    <w:rsid w:val="00A948CA"/>
    <w:rsid w:val="00A96E93"/>
    <w:rsid w:val="00AA6759"/>
    <w:rsid w:val="00AB200B"/>
    <w:rsid w:val="00AC4FD6"/>
    <w:rsid w:val="00AE05A8"/>
    <w:rsid w:val="00AF6804"/>
    <w:rsid w:val="00B05711"/>
    <w:rsid w:val="00B27399"/>
    <w:rsid w:val="00B40705"/>
    <w:rsid w:val="00B4650A"/>
    <w:rsid w:val="00B52533"/>
    <w:rsid w:val="00B6008B"/>
    <w:rsid w:val="00B6042A"/>
    <w:rsid w:val="00B6123F"/>
    <w:rsid w:val="00B6644E"/>
    <w:rsid w:val="00B71907"/>
    <w:rsid w:val="00B75276"/>
    <w:rsid w:val="00B75AB1"/>
    <w:rsid w:val="00BE1AF4"/>
    <w:rsid w:val="00C01892"/>
    <w:rsid w:val="00C10D68"/>
    <w:rsid w:val="00C15A0D"/>
    <w:rsid w:val="00C21899"/>
    <w:rsid w:val="00C25E44"/>
    <w:rsid w:val="00C355F7"/>
    <w:rsid w:val="00C364BE"/>
    <w:rsid w:val="00C3792F"/>
    <w:rsid w:val="00C63CC2"/>
    <w:rsid w:val="00C81960"/>
    <w:rsid w:val="00C81C18"/>
    <w:rsid w:val="00C907E0"/>
    <w:rsid w:val="00CA05CE"/>
    <w:rsid w:val="00CB206F"/>
    <w:rsid w:val="00CC1EE5"/>
    <w:rsid w:val="00CC5F9D"/>
    <w:rsid w:val="00CD1637"/>
    <w:rsid w:val="00CE2E0B"/>
    <w:rsid w:val="00CF0BB8"/>
    <w:rsid w:val="00CF0F50"/>
    <w:rsid w:val="00CF3D2C"/>
    <w:rsid w:val="00D17AA8"/>
    <w:rsid w:val="00D17B8E"/>
    <w:rsid w:val="00D25A05"/>
    <w:rsid w:val="00D2686C"/>
    <w:rsid w:val="00D5670F"/>
    <w:rsid w:val="00D7422B"/>
    <w:rsid w:val="00D92A80"/>
    <w:rsid w:val="00DF5376"/>
    <w:rsid w:val="00E35882"/>
    <w:rsid w:val="00E40978"/>
    <w:rsid w:val="00E43AD7"/>
    <w:rsid w:val="00E568A7"/>
    <w:rsid w:val="00E57691"/>
    <w:rsid w:val="00E64F23"/>
    <w:rsid w:val="00E7177D"/>
    <w:rsid w:val="00E73B8F"/>
    <w:rsid w:val="00E8687F"/>
    <w:rsid w:val="00E91563"/>
    <w:rsid w:val="00EA1D6A"/>
    <w:rsid w:val="00EB2152"/>
    <w:rsid w:val="00EC1851"/>
    <w:rsid w:val="00F204E3"/>
    <w:rsid w:val="00F257C7"/>
    <w:rsid w:val="00F371A5"/>
    <w:rsid w:val="00F43F78"/>
    <w:rsid w:val="00F4726A"/>
    <w:rsid w:val="00F531DD"/>
    <w:rsid w:val="00F54D5E"/>
    <w:rsid w:val="00F60D17"/>
    <w:rsid w:val="00F71907"/>
    <w:rsid w:val="00F81A15"/>
    <w:rsid w:val="00F83E5B"/>
    <w:rsid w:val="00FB3BC6"/>
    <w:rsid w:val="00FD29BD"/>
    <w:rsid w:val="00FD4999"/>
    <w:rsid w:val="00FD5D85"/>
    <w:rsid w:val="00FD6264"/>
    <w:rsid w:val="01090530"/>
    <w:rsid w:val="021B3D5A"/>
    <w:rsid w:val="039F2A47"/>
    <w:rsid w:val="08827EF4"/>
    <w:rsid w:val="0CA96494"/>
    <w:rsid w:val="0F321A7E"/>
    <w:rsid w:val="10AF6871"/>
    <w:rsid w:val="18E00693"/>
    <w:rsid w:val="196B32E6"/>
    <w:rsid w:val="1B54260F"/>
    <w:rsid w:val="1BED1A1B"/>
    <w:rsid w:val="1DB80C45"/>
    <w:rsid w:val="22DA7686"/>
    <w:rsid w:val="276B049D"/>
    <w:rsid w:val="289271C8"/>
    <w:rsid w:val="29544C81"/>
    <w:rsid w:val="29D4125B"/>
    <w:rsid w:val="2D5C287D"/>
    <w:rsid w:val="2ED64AE3"/>
    <w:rsid w:val="31790F13"/>
    <w:rsid w:val="3263637F"/>
    <w:rsid w:val="33D9338F"/>
    <w:rsid w:val="37FB4C57"/>
    <w:rsid w:val="3B5A4F1C"/>
    <w:rsid w:val="3D734A01"/>
    <w:rsid w:val="3DBE3DCF"/>
    <w:rsid w:val="428944DE"/>
    <w:rsid w:val="455E5DD4"/>
    <w:rsid w:val="45630245"/>
    <w:rsid w:val="46F67A63"/>
    <w:rsid w:val="4C242247"/>
    <w:rsid w:val="4CD90F9B"/>
    <w:rsid w:val="50474757"/>
    <w:rsid w:val="548D07DA"/>
    <w:rsid w:val="54AF2658"/>
    <w:rsid w:val="56881F70"/>
    <w:rsid w:val="56F12311"/>
    <w:rsid w:val="57204739"/>
    <w:rsid w:val="58644FB9"/>
    <w:rsid w:val="58AC2BD6"/>
    <w:rsid w:val="590C3060"/>
    <w:rsid w:val="5E963894"/>
    <w:rsid w:val="695F1F83"/>
    <w:rsid w:val="6B691EC3"/>
    <w:rsid w:val="6C586F84"/>
    <w:rsid w:val="6D8F2A2F"/>
    <w:rsid w:val="71A068B0"/>
    <w:rsid w:val="7451001B"/>
    <w:rsid w:val="77F53087"/>
    <w:rsid w:val="7A2501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spacing w:before="360" w:after="360" w:line="400" w:lineRule="exact"/>
      <w:jc w:val="center"/>
      <w:outlineLvl w:val="0"/>
    </w:pPr>
    <w:rPr>
      <w:rFonts w:ascii="Arial" w:hAnsi="Arial" w:eastAsia="黑体"/>
      <w:b/>
      <w:kern w:val="44"/>
      <w:sz w:val="30"/>
      <w:szCs w:val="30"/>
    </w:rPr>
  </w:style>
  <w:style w:type="paragraph" w:styleId="3">
    <w:name w:val="heading 2"/>
    <w:basedOn w:val="1"/>
    <w:next w:val="4"/>
    <w:qFormat/>
    <w:uiPriority w:val="0"/>
    <w:pPr>
      <w:keepNext/>
      <w:spacing w:line="480" w:lineRule="exact"/>
      <w:outlineLvl w:val="1"/>
    </w:pPr>
    <w:rPr>
      <w:rFonts w:ascii="宋体"/>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spacing w:line="360" w:lineRule="auto"/>
      <w:ind w:right="25" w:rightChars="12" w:firstLine="485" w:firstLineChars="202"/>
    </w:pPr>
    <w:rPr>
      <w:rFonts w:ascii="宋体" w:hAnsi="宋体"/>
      <w:kern w:val="0"/>
      <w:sz w:val="24"/>
      <w:szCs w:val="24"/>
    </w:rPr>
  </w:style>
  <w:style w:type="paragraph" w:styleId="5">
    <w:name w:val="Body Text Indent"/>
    <w:basedOn w:val="1"/>
    <w:qFormat/>
    <w:uiPriority w:val="0"/>
    <w:pPr>
      <w:ind w:firstLine="630"/>
    </w:pPr>
    <w:rPr>
      <w:sz w:val="32"/>
    </w:rPr>
  </w:style>
  <w:style w:type="paragraph" w:styleId="6">
    <w:name w:val="Body Text Indent 2"/>
    <w:basedOn w:val="1"/>
    <w:qFormat/>
    <w:uiPriority w:val="0"/>
    <w:pPr>
      <w:ind w:firstLine="630"/>
    </w:pPr>
    <w:rPr>
      <w:sz w:val="32"/>
    </w:rPr>
  </w:style>
  <w:style w:type="paragraph" w:styleId="7">
    <w:name w:val="Balloon Text"/>
    <w:basedOn w:val="1"/>
    <w:link w:val="22"/>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39"/>
    <w:pPr>
      <w:spacing w:before="120" w:after="120" w:line="360" w:lineRule="auto"/>
      <w:ind w:firstLine="180" w:firstLineChars="75"/>
    </w:pPr>
    <w:rPr>
      <w:bCs/>
      <w:caps/>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unhideWhenUsed/>
    <w:qFormat/>
    <w:uiPriority w:val="99"/>
    <w:rPr>
      <w:color w:val="0563C1" w:themeColor="hyperlink"/>
      <w:u w:val="single"/>
    </w:rPr>
  </w:style>
  <w:style w:type="paragraph" w:customStyle="1" w:styleId="17">
    <w:name w:val="正文首行缩进两字符"/>
    <w:basedOn w:val="1"/>
    <w:qFormat/>
    <w:uiPriority w:val="0"/>
    <w:pPr>
      <w:spacing w:line="360" w:lineRule="auto"/>
      <w:ind w:firstLine="200" w:firstLineChars="200"/>
    </w:pPr>
    <w:rPr>
      <w:szCs w:val="24"/>
    </w:rPr>
  </w:style>
  <w:style w:type="paragraph" w:customStyle="1" w:styleId="1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9">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20">
    <w:name w:val="样式 首行缩进:  2 字符"/>
    <w:basedOn w:val="1"/>
    <w:qFormat/>
    <w:uiPriority w:val="0"/>
    <w:pPr>
      <w:spacing w:line="400" w:lineRule="exact"/>
      <w:ind w:firstLine="200" w:firstLineChars="200"/>
    </w:pPr>
    <w:rPr>
      <w:rFonts w:cs="宋体"/>
      <w:sz w:val="24"/>
      <w:szCs w:val="24"/>
    </w:rPr>
  </w:style>
  <w:style w:type="paragraph" w:styleId="21">
    <w:name w:val="List Paragraph"/>
    <w:basedOn w:val="1"/>
    <w:qFormat/>
    <w:uiPriority w:val="0"/>
    <w:pPr>
      <w:ind w:firstLine="420" w:firstLineChars="200"/>
    </w:pPr>
    <w:rPr>
      <w:szCs w:val="24"/>
    </w:rPr>
  </w:style>
  <w:style w:type="character" w:customStyle="1" w:styleId="22">
    <w:name w:val="批注框文本 Char"/>
    <w:basedOn w:val="14"/>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602846-BBCC-44C8-8C34-531419BD6FD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2564</Words>
  <Characters>14618</Characters>
  <Lines>121</Lines>
  <Paragraphs>34</Paragraphs>
  <TotalTime>1</TotalTime>
  <ScaleCrop>false</ScaleCrop>
  <LinksUpToDate>false</LinksUpToDate>
  <CharactersWithSpaces>17148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2021-01-20T03:12:00Z</dcterms:created>
  <dc:creator>Aidoll</dc:creator>
  <cp:lastModifiedBy>骆强</cp:lastModifiedBy>
  <cp:lastPrinted>2021-01-22T06:52:27Z</cp:lastPrinted>
  <dcterms:modified xsi:type="dcterms:W3CDTF">2021-01-22T07:15:46Z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