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0"/>
          <w:szCs w:val="30"/>
        </w:rPr>
      </w:pPr>
    </w:p>
    <w:p>
      <w:pP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自然灾害综合风险普查</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公益宣传视频集制作项目</w:t>
      </w:r>
    </w:p>
    <w:p>
      <w:pPr>
        <w:jc w:val="center"/>
        <w:rPr>
          <w:rFonts w:ascii="宋体" w:hAnsi="宋体" w:cs="宋体"/>
          <w:b/>
          <w:bCs/>
          <w:sz w:val="44"/>
          <w:szCs w:val="44"/>
        </w:rPr>
      </w:pPr>
    </w:p>
    <w:p>
      <w:pPr>
        <w:spacing w:line="480" w:lineRule="auto"/>
        <w:ind w:firstLine="3955" w:firstLineChars="412"/>
        <w:rPr>
          <w:rFonts w:ascii="宋体" w:hAnsi="宋体" w:cs="宋体"/>
          <w:b/>
          <w:sz w:val="96"/>
        </w:rPr>
      </w:pPr>
      <w:r>
        <w:rPr>
          <w:rFonts w:hint="eastAsia" w:ascii="宋体" w:hAnsi="宋体" w:cs="宋体"/>
          <w:b/>
          <w:sz w:val="96"/>
        </w:rPr>
        <w:t>磋</w:t>
      </w:r>
    </w:p>
    <w:p>
      <w:pPr>
        <w:jc w:val="center"/>
        <w:rPr>
          <w:rFonts w:ascii="宋体" w:hAnsi="宋体" w:cs="宋体"/>
          <w:b/>
          <w:sz w:val="96"/>
        </w:rPr>
      </w:pPr>
      <w:r>
        <w:rPr>
          <w:rFonts w:hint="eastAsia" w:ascii="宋体" w:hAnsi="宋体" w:cs="宋体"/>
          <w:b/>
          <w:sz w:val="96"/>
        </w:rPr>
        <w:t>商</w:t>
      </w:r>
    </w:p>
    <w:p>
      <w:pPr>
        <w:jc w:val="center"/>
        <w:rPr>
          <w:rFonts w:ascii="宋体" w:hAnsi="宋体" w:cs="宋体"/>
          <w:b/>
          <w:sz w:val="96"/>
        </w:rPr>
      </w:pPr>
      <w:r>
        <w:rPr>
          <w:rFonts w:hint="eastAsia" w:ascii="宋体" w:hAnsi="宋体" w:cs="宋体"/>
          <w:b/>
          <w:sz w:val="96"/>
        </w:rPr>
        <w:t>文</w:t>
      </w:r>
    </w:p>
    <w:p>
      <w:pPr>
        <w:jc w:val="center"/>
        <w:rPr>
          <w:rFonts w:ascii="宋体" w:hAnsi="宋体" w:cs="宋体"/>
          <w:b/>
          <w:sz w:val="96"/>
        </w:rPr>
      </w:pPr>
      <w:r>
        <w:rPr>
          <w:rFonts w:hint="eastAsia" w:ascii="宋体" w:hAnsi="宋体" w:cs="宋体"/>
          <w:b/>
          <w:sz w:val="96"/>
        </w:rPr>
        <w:t>件</w:t>
      </w:r>
    </w:p>
    <w:p>
      <w:pPr>
        <w:spacing w:line="360" w:lineRule="auto"/>
        <w:jc w:val="center"/>
        <w:rPr>
          <w:rFonts w:ascii="宋体" w:hAnsi="宋体" w:cs="宋体"/>
          <w:b/>
          <w:sz w:val="32"/>
          <w:szCs w:val="32"/>
        </w:rPr>
      </w:pPr>
    </w:p>
    <w:p>
      <w:pPr>
        <w:spacing w:line="360" w:lineRule="auto"/>
        <w:jc w:val="center"/>
        <w:rPr>
          <w:rFonts w:ascii="宋体" w:hAnsi="宋体" w:cs="宋体"/>
          <w:b/>
          <w:sz w:val="30"/>
          <w:szCs w:val="30"/>
        </w:rPr>
      </w:pPr>
      <w:r>
        <w:rPr>
          <w:rFonts w:hint="eastAsia" w:ascii="宋体" w:hAnsi="宋体" w:cs="宋体"/>
          <w:b/>
          <w:sz w:val="30"/>
          <w:szCs w:val="30"/>
        </w:rPr>
        <w:t>四川省应急管理厅编制</w:t>
      </w:r>
    </w:p>
    <w:p>
      <w:pPr>
        <w:spacing w:line="360" w:lineRule="auto"/>
        <w:jc w:val="center"/>
        <w:rPr>
          <w:rFonts w:ascii="宋体" w:hAnsi="宋体" w:cs="宋体"/>
          <w:b/>
          <w:sz w:val="30"/>
          <w:szCs w:val="30"/>
        </w:rPr>
      </w:pPr>
    </w:p>
    <w:p>
      <w:pPr>
        <w:spacing w:line="360" w:lineRule="auto"/>
        <w:jc w:val="center"/>
        <w:rPr>
          <w:rFonts w:ascii="宋体" w:hAnsi="宋体" w:cs="宋体"/>
          <w:b/>
          <w:bCs/>
          <w:sz w:val="32"/>
          <w:szCs w:val="32"/>
          <w:lang w:val="zh-CN"/>
        </w:rPr>
      </w:pPr>
      <w:r>
        <w:rPr>
          <w:rFonts w:hint="eastAsia" w:ascii="宋体" w:hAnsi="宋体" w:cs="宋体"/>
          <w:b/>
          <w:bCs/>
          <w:sz w:val="32"/>
          <w:szCs w:val="32"/>
          <w:lang w:val="zh-CN"/>
        </w:rPr>
        <w:t>二〇</w:t>
      </w:r>
      <w:r>
        <w:rPr>
          <w:rFonts w:hint="eastAsia" w:ascii="宋体" w:hAnsi="宋体" w:cs="宋体"/>
          <w:b/>
          <w:bCs/>
          <w:sz w:val="32"/>
          <w:szCs w:val="32"/>
        </w:rPr>
        <w:t>二</w:t>
      </w:r>
      <w:r>
        <w:rPr>
          <w:rFonts w:hint="eastAsia" w:ascii="宋体" w:hAnsi="宋体" w:cs="宋体"/>
          <w:b/>
          <w:bCs/>
          <w:sz w:val="32"/>
          <w:szCs w:val="32"/>
          <w:lang w:val="zh-CN"/>
        </w:rPr>
        <w:t>〇年</w:t>
      </w:r>
      <w:r>
        <w:rPr>
          <w:rFonts w:hint="eastAsia" w:ascii="宋体" w:hAnsi="宋体" w:cs="宋体"/>
          <w:b/>
          <w:bCs/>
          <w:sz w:val="32"/>
          <w:szCs w:val="32"/>
          <w:lang w:val="zh-CN" w:eastAsia="zh-CN"/>
        </w:rPr>
        <w:t>十二</w:t>
      </w:r>
      <w:r>
        <w:rPr>
          <w:rFonts w:hint="eastAsia" w:ascii="宋体" w:hAnsi="宋体" w:cs="宋体"/>
          <w:b/>
          <w:bCs/>
          <w:sz w:val="32"/>
          <w:szCs w:val="32"/>
          <w:lang w:val="zh-CN"/>
        </w:rPr>
        <w:t>月</w:t>
      </w:r>
    </w:p>
    <w:p>
      <w:pPr>
        <w:spacing w:line="360" w:lineRule="auto"/>
        <w:rPr>
          <w:rFonts w:ascii="宋体" w:hAnsi="宋体" w:cs="宋体"/>
          <w:b/>
          <w:bCs/>
          <w:sz w:val="32"/>
          <w:szCs w:val="32"/>
          <w:lang w:val="zh-CN"/>
        </w:rPr>
      </w:pPr>
    </w:p>
    <w:p>
      <w:pPr>
        <w:pStyle w:val="9"/>
        <w:spacing w:line="480" w:lineRule="auto"/>
        <w:ind w:firstLine="181"/>
        <w:jc w:val="center"/>
        <w:rPr>
          <w:rFonts w:ascii="宋体" w:hAnsi="宋体" w:cs="宋体"/>
          <w:b/>
        </w:rPr>
      </w:pPr>
    </w:p>
    <w:p>
      <w:pPr>
        <w:rPr>
          <w:rFonts w:ascii="宋体" w:hAnsi="宋体" w:cs="宋体"/>
        </w:rPr>
      </w:pPr>
    </w:p>
    <w:p>
      <w:pPr>
        <w:rPr>
          <w:rFonts w:ascii="宋体" w:hAnsi="宋体" w:cs="宋体"/>
          <w:b/>
        </w:rPr>
      </w:pPr>
    </w:p>
    <w:p>
      <w:pPr>
        <w:rPr>
          <w:rFonts w:ascii="宋体" w:hAnsi="宋体" w:cs="宋体"/>
          <w:b/>
        </w:rPr>
      </w:pPr>
    </w:p>
    <w:p>
      <w:pPr>
        <w:pStyle w:val="9"/>
        <w:spacing w:line="480" w:lineRule="auto"/>
        <w:ind w:firstLine="241"/>
        <w:jc w:val="center"/>
        <w:rPr>
          <w:rFonts w:ascii="宋体" w:hAnsi="宋体" w:cs="宋体"/>
          <w:b/>
          <w:sz w:val="32"/>
          <w:szCs w:val="32"/>
        </w:rPr>
      </w:pPr>
      <w:r>
        <w:rPr>
          <w:rFonts w:hint="eastAsia" w:ascii="宋体" w:hAnsi="宋体" w:cs="宋体"/>
          <w:b/>
          <w:sz w:val="32"/>
          <w:szCs w:val="32"/>
        </w:rPr>
        <w:t>目     录</w:t>
      </w:r>
    </w:p>
    <w:p>
      <w:pPr>
        <w:spacing w:line="480" w:lineRule="auto"/>
        <w:rPr>
          <w:rFonts w:ascii="宋体" w:hAnsi="宋体" w:cs="宋体"/>
          <w:sz w:val="24"/>
          <w:szCs w:val="24"/>
        </w:rPr>
      </w:pPr>
    </w:p>
    <w:p>
      <w:pPr>
        <w:pStyle w:val="9"/>
        <w:tabs>
          <w:tab w:val="right" w:leader="dot" w:pos="9185"/>
        </w:tabs>
      </w:pPr>
      <w:r>
        <w:rPr>
          <w:rFonts w:hint="eastAsia" w:ascii="宋体" w:hAnsi="宋体" w:cs="宋体"/>
        </w:rPr>
        <w:fldChar w:fldCharType="begin"/>
      </w:r>
      <w:r>
        <w:rPr>
          <w:rFonts w:hint="eastAsia" w:ascii="宋体" w:hAnsi="宋体" w:cs="宋体"/>
        </w:rPr>
        <w:instrText xml:space="preserve">TOC \o "1-2" \h \u </w:instrText>
      </w:r>
      <w:r>
        <w:rPr>
          <w:rFonts w:hint="eastAsia" w:ascii="宋体" w:hAnsi="宋体" w:cs="宋体"/>
        </w:rPr>
        <w:fldChar w:fldCharType="separate"/>
      </w:r>
      <w:r>
        <w:fldChar w:fldCharType="begin"/>
      </w:r>
      <w:r>
        <w:instrText xml:space="preserve"> HYPERLINK \l "_Toc30822" </w:instrText>
      </w:r>
      <w:r>
        <w:fldChar w:fldCharType="separate"/>
      </w:r>
      <w:r>
        <w:rPr>
          <w:rFonts w:hint="eastAsia" w:ascii="宋体" w:hAnsi="宋体" w:cs="宋体"/>
        </w:rPr>
        <w:t>一、采购邀请</w:t>
      </w:r>
      <w:r>
        <w:tab/>
      </w:r>
      <w:r>
        <w:fldChar w:fldCharType="end"/>
      </w:r>
      <w:r>
        <w:rPr>
          <w:rFonts w:hint="eastAsia"/>
        </w:rPr>
        <w:t>2</w:t>
      </w:r>
    </w:p>
    <w:p>
      <w:pPr>
        <w:pStyle w:val="9"/>
        <w:tabs>
          <w:tab w:val="right" w:leader="dot" w:pos="9185"/>
        </w:tabs>
      </w:pPr>
      <w:r>
        <w:fldChar w:fldCharType="begin"/>
      </w:r>
      <w:r>
        <w:instrText xml:space="preserve"> HYPERLINK \l "_Toc20338" </w:instrText>
      </w:r>
      <w:r>
        <w:fldChar w:fldCharType="separate"/>
      </w:r>
      <w:r>
        <w:rPr>
          <w:rFonts w:hint="eastAsia" w:ascii="宋体" w:hAnsi="宋体" w:cs="宋体"/>
        </w:rPr>
        <w:t>二、磋商须知</w:t>
      </w:r>
      <w:r>
        <w:tab/>
      </w:r>
      <w:r>
        <w:fldChar w:fldCharType="end"/>
      </w:r>
      <w:r>
        <w:rPr>
          <w:rFonts w:hint="eastAsia"/>
        </w:rPr>
        <w:t>3</w:t>
      </w:r>
    </w:p>
    <w:p>
      <w:pPr>
        <w:pStyle w:val="9"/>
        <w:tabs>
          <w:tab w:val="right" w:leader="dot" w:pos="9185"/>
        </w:tabs>
      </w:pPr>
      <w:r>
        <w:fldChar w:fldCharType="begin"/>
      </w:r>
      <w:r>
        <w:instrText xml:space="preserve"> HYPERLINK \l "_Toc1020" </w:instrText>
      </w:r>
      <w:r>
        <w:fldChar w:fldCharType="separate"/>
      </w:r>
      <w:r>
        <w:rPr>
          <w:rFonts w:hint="eastAsia" w:ascii="宋体" w:hAnsi="宋体" w:cs="宋体"/>
        </w:rPr>
        <w:t>三、确定邀请参加磋商的供应商数量和方式</w:t>
      </w:r>
      <w:r>
        <w:tab/>
      </w:r>
      <w:r>
        <w:fldChar w:fldCharType="end"/>
      </w:r>
      <w:r>
        <w:rPr>
          <w:rFonts w:hint="eastAsia"/>
        </w:rPr>
        <w:t>7</w:t>
      </w:r>
    </w:p>
    <w:p>
      <w:pPr>
        <w:pStyle w:val="9"/>
        <w:tabs>
          <w:tab w:val="right" w:leader="dot" w:pos="9185"/>
        </w:tabs>
      </w:pPr>
      <w:r>
        <w:fldChar w:fldCharType="begin"/>
      </w:r>
      <w:r>
        <w:instrText xml:space="preserve"> HYPERLINK \l "_Toc28353" </w:instrText>
      </w:r>
      <w:r>
        <w:fldChar w:fldCharType="separate"/>
      </w:r>
      <w:r>
        <w:rPr>
          <w:rFonts w:hint="eastAsia" w:ascii="宋体" w:hAnsi="宋体" w:cs="宋体"/>
        </w:rPr>
        <w:t>四、供应商及采购项目的资格条件要求</w:t>
      </w:r>
      <w:r>
        <w:tab/>
      </w:r>
      <w:r>
        <w:fldChar w:fldCharType="end"/>
      </w:r>
      <w:r>
        <w:rPr>
          <w:rFonts w:hint="eastAsia"/>
        </w:rPr>
        <w:t>7</w:t>
      </w:r>
    </w:p>
    <w:p>
      <w:pPr>
        <w:pStyle w:val="9"/>
        <w:tabs>
          <w:tab w:val="right" w:leader="dot" w:pos="9185"/>
        </w:tabs>
      </w:pPr>
      <w:r>
        <w:fldChar w:fldCharType="begin"/>
      </w:r>
      <w:r>
        <w:instrText xml:space="preserve"> HYPERLINK \l "_Toc13559" </w:instrText>
      </w:r>
      <w:r>
        <w:fldChar w:fldCharType="separate"/>
      </w:r>
      <w:r>
        <w:rPr>
          <w:rFonts w:hint="eastAsia" w:ascii="宋体" w:hAnsi="宋体" w:cs="宋体"/>
        </w:rPr>
        <w:t>五、供应商应当提供的资格证明材料</w:t>
      </w:r>
      <w:r>
        <w:tab/>
      </w:r>
      <w:r>
        <w:fldChar w:fldCharType="end"/>
      </w:r>
      <w:r>
        <w:rPr>
          <w:rFonts w:hint="eastAsia"/>
        </w:rPr>
        <w:t>7</w:t>
      </w:r>
    </w:p>
    <w:p>
      <w:pPr>
        <w:pStyle w:val="9"/>
        <w:tabs>
          <w:tab w:val="right" w:leader="dot" w:pos="9185"/>
        </w:tabs>
      </w:pPr>
      <w:r>
        <w:fldChar w:fldCharType="begin"/>
      </w:r>
      <w:r>
        <w:instrText xml:space="preserve"> HYPERLINK \l "_Toc12218" </w:instrText>
      </w:r>
      <w:r>
        <w:fldChar w:fldCharType="separate"/>
      </w:r>
      <w:r>
        <w:rPr>
          <w:rFonts w:hint="eastAsia" w:ascii="宋体" w:hAnsi="宋体" w:cs="宋体"/>
        </w:rPr>
        <w:t>六、 政府采购政策要求</w:t>
      </w:r>
      <w:r>
        <w:tab/>
      </w:r>
      <w:r>
        <w:fldChar w:fldCharType="end"/>
      </w:r>
      <w:r>
        <w:rPr>
          <w:rFonts w:hint="eastAsia"/>
        </w:rPr>
        <w:t>8</w:t>
      </w:r>
    </w:p>
    <w:p>
      <w:pPr>
        <w:pStyle w:val="9"/>
        <w:tabs>
          <w:tab w:val="right" w:leader="dot" w:pos="9185"/>
        </w:tabs>
      </w:pPr>
      <w:r>
        <w:fldChar w:fldCharType="begin"/>
      </w:r>
      <w:r>
        <w:instrText xml:space="preserve"> HYPERLINK \l "_Toc29808" </w:instrText>
      </w:r>
      <w:r>
        <w:fldChar w:fldCharType="separate"/>
      </w:r>
      <w:r>
        <w:t>七、体现满足采购需求、质量和服务相等的采购项目实质性要求</w:t>
      </w:r>
      <w:r>
        <w:tab/>
      </w:r>
      <w:r>
        <w:fldChar w:fldCharType="end"/>
      </w:r>
      <w:r>
        <w:rPr>
          <w:rFonts w:hint="eastAsia"/>
        </w:rPr>
        <w:t>8</w:t>
      </w:r>
    </w:p>
    <w:p>
      <w:pPr>
        <w:pStyle w:val="9"/>
        <w:tabs>
          <w:tab w:val="right" w:leader="dot" w:pos="9185"/>
        </w:tabs>
      </w:pPr>
      <w:r>
        <w:fldChar w:fldCharType="begin"/>
      </w:r>
      <w:r>
        <w:instrText xml:space="preserve"> HYPERLINK \l "_Toc28608" </w:instrText>
      </w:r>
      <w:r>
        <w:fldChar w:fldCharType="separate"/>
      </w:r>
      <w:r>
        <w:rPr>
          <w:rFonts w:hint="eastAsia" w:ascii="宋体" w:hAnsi="宋体" w:cs="宋体"/>
        </w:rPr>
        <w:t>八、采购项目报价要求</w:t>
      </w:r>
      <w:r>
        <w:tab/>
      </w:r>
      <w:r>
        <w:fldChar w:fldCharType="end"/>
      </w:r>
      <w:r>
        <w:rPr>
          <w:rFonts w:hint="eastAsia"/>
        </w:rPr>
        <w:t>9</w:t>
      </w:r>
    </w:p>
    <w:p>
      <w:pPr>
        <w:pStyle w:val="9"/>
        <w:tabs>
          <w:tab w:val="right" w:leader="dot" w:pos="9185"/>
        </w:tabs>
      </w:pPr>
      <w:r>
        <w:fldChar w:fldCharType="begin"/>
      </w:r>
      <w:r>
        <w:instrText xml:space="preserve"> HYPERLINK \l "_Toc10282" </w:instrText>
      </w:r>
      <w:r>
        <w:fldChar w:fldCharType="separate"/>
      </w:r>
      <w:r>
        <w:rPr>
          <w:rFonts w:hint="eastAsia" w:ascii="宋体" w:hAnsi="宋体" w:cs="宋体"/>
        </w:rPr>
        <w:t>九、供应商响应文件编制要求</w:t>
      </w:r>
      <w:r>
        <w:tab/>
      </w:r>
      <w:r>
        <w:fldChar w:fldCharType="end"/>
      </w:r>
      <w:r>
        <w:rPr>
          <w:rFonts w:hint="eastAsia"/>
        </w:rPr>
        <w:t>9</w:t>
      </w:r>
    </w:p>
    <w:p>
      <w:pPr>
        <w:pStyle w:val="9"/>
        <w:tabs>
          <w:tab w:val="right" w:leader="dot" w:pos="9185"/>
        </w:tabs>
      </w:pPr>
      <w:r>
        <w:fldChar w:fldCharType="begin"/>
      </w:r>
      <w:r>
        <w:instrText xml:space="preserve"> HYPERLINK \l "_Toc11212" </w:instrText>
      </w:r>
      <w:r>
        <w:fldChar w:fldCharType="separate"/>
      </w:r>
      <w:r>
        <w:rPr>
          <w:rFonts w:hint="eastAsia" w:ascii="宋体" w:hAnsi="宋体" w:cs="宋体"/>
        </w:rPr>
        <w:t>十、评审程序、方法和标准</w:t>
      </w:r>
      <w:r>
        <w:tab/>
      </w:r>
      <w:r>
        <w:fldChar w:fldCharType="end"/>
      </w:r>
      <w:r>
        <w:rPr>
          <w:rFonts w:hint="eastAsia"/>
        </w:rPr>
        <w:t>10</w:t>
      </w:r>
    </w:p>
    <w:p>
      <w:pPr>
        <w:pStyle w:val="9"/>
        <w:tabs>
          <w:tab w:val="right" w:leader="dot" w:pos="9185"/>
        </w:tabs>
      </w:pPr>
      <w:r>
        <w:fldChar w:fldCharType="begin"/>
      </w:r>
      <w:r>
        <w:instrText xml:space="preserve"> HYPERLINK \l "_Toc22129" </w:instrText>
      </w:r>
      <w:r>
        <w:fldChar w:fldCharType="separate"/>
      </w:r>
      <w:r>
        <w:rPr>
          <w:rFonts w:hint="eastAsia" w:ascii="宋体" w:hAnsi="宋体" w:cs="宋体"/>
        </w:rPr>
        <w:t>十一 、供应商响应文件相关文书格式</w:t>
      </w:r>
      <w:r>
        <w:tab/>
      </w:r>
      <w:r>
        <w:fldChar w:fldCharType="end"/>
      </w:r>
      <w:r>
        <w:rPr>
          <w:rFonts w:hint="eastAsia"/>
        </w:rPr>
        <w:t>14</w:t>
      </w:r>
    </w:p>
    <w:p>
      <w:pPr>
        <w:pStyle w:val="9"/>
        <w:tabs>
          <w:tab w:val="right" w:leader="dot" w:pos="9185"/>
        </w:tabs>
      </w:pPr>
      <w:r>
        <w:fldChar w:fldCharType="begin"/>
      </w:r>
      <w:r>
        <w:instrText xml:space="preserve"> HYPERLINK \l "_Toc16718" </w:instrText>
      </w:r>
      <w:r>
        <w:fldChar w:fldCharType="separate"/>
      </w:r>
      <w:r>
        <w:rPr>
          <w:rFonts w:hint="eastAsia" w:ascii="宋体" w:hAnsi="宋体" w:cs="宋体"/>
        </w:rPr>
        <w:t>十二、合同主要条款（草案）</w:t>
      </w:r>
      <w:r>
        <w:tab/>
      </w:r>
      <w:r>
        <w:fldChar w:fldCharType="end"/>
      </w:r>
      <w:r>
        <w:rPr>
          <w:rFonts w:hint="eastAsia"/>
        </w:rPr>
        <w:t>24</w:t>
      </w:r>
    </w:p>
    <w:p>
      <w:pPr>
        <w:pStyle w:val="9"/>
        <w:tabs>
          <w:tab w:val="right" w:leader="dot" w:pos="9185"/>
        </w:tabs>
      </w:pPr>
      <w:r>
        <w:fldChar w:fldCharType="begin"/>
      </w:r>
      <w:r>
        <w:instrText xml:space="preserve"> HYPERLINK \l "_Toc24069" </w:instrText>
      </w:r>
      <w:r>
        <w:fldChar w:fldCharType="separate"/>
      </w:r>
      <w:r>
        <w:rPr>
          <w:rFonts w:hint="eastAsia" w:ascii="宋体" w:hAnsi="宋体" w:cs="宋体"/>
        </w:rPr>
        <w:t>十三、采购项目履约验收标准和要求</w:t>
      </w:r>
      <w:r>
        <w:tab/>
      </w:r>
      <w:r>
        <w:fldChar w:fldCharType="end"/>
      </w:r>
      <w:r>
        <w:rPr>
          <w:rFonts w:hint="eastAsia"/>
        </w:rPr>
        <w:t>28</w:t>
      </w:r>
    </w:p>
    <w:p>
      <w:pPr>
        <w:rPr>
          <w:rFonts w:ascii="宋体" w:hAnsi="宋体" w:cs="宋体"/>
        </w:rPr>
      </w:pPr>
      <w:r>
        <w:rPr>
          <w:rFonts w:hint="eastAsia" w:ascii="宋体" w:hAnsi="宋体" w:cs="宋体"/>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numPr>
          <w:ilvl w:val="0"/>
          <w:numId w:val="1"/>
        </w:numPr>
        <w:rPr>
          <w:rFonts w:ascii="宋体" w:hAnsi="宋体" w:eastAsia="宋体" w:cs="宋体"/>
        </w:rPr>
      </w:pPr>
      <w:bookmarkStart w:id="0" w:name="_Toc10303"/>
      <w:bookmarkStart w:id="1" w:name="_Toc26444"/>
      <w:bookmarkStart w:id="2" w:name="_Toc193106063"/>
      <w:bookmarkStart w:id="3" w:name="_Toc193105917"/>
      <w:bookmarkStart w:id="4" w:name="_Toc193106174"/>
      <w:bookmarkStart w:id="5" w:name="_Toc30822"/>
      <w:r>
        <w:rPr>
          <w:rFonts w:hint="eastAsia" w:ascii="宋体" w:hAnsi="宋体" w:eastAsia="宋体" w:cs="宋体"/>
        </w:rPr>
        <w:t>采购邀请</w:t>
      </w:r>
      <w:bookmarkEnd w:id="0"/>
      <w:bookmarkEnd w:id="1"/>
      <w:bookmarkEnd w:id="2"/>
      <w:bookmarkEnd w:id="3"/>
      <w:bookmarkEnd w:id="4"/>
      <w:bookmarkEnd w:id="5"/>
    </w:p>
    <w:p>
      <w:pPr>
        <w:spacing w:line="360" w:lineRule="auto"/>
        <w:ind w:firstLine="480" w:firstLineChars="200"/>
        <w:jc w:val="left"/>
        <w:rPr>
          <w:rFonts w:ascii="方正小标宋简体" w:hAnsi="方正小标宋简体" w:eastAsia="方正小标宋简体" w:cs="方正小标宋简体"/>
          <w:sz w:val="44"/>
          <w:szCs w:val="44"/>
        </w:rPr>
      </w:pPr>
      <w:r>
        <w:rPr>
          <w:rFonts w:hint="eastAsia" w:ascii="宋体" w:hAnsi="宋体" w:cs="宋体"/>
          <w:sz w:val="24"/>
          <w:szCs w:val="24"/>
        </w:rPr>
        <w:t>四川省应急管理厅拟以竞争性磋商方式对自然灾害综合风险普查公益宣传视频集制作项目</w:t>
      </w:r>
      <w:r>
        <w:rPr>
          <w:rFonts w:hint="eastAsia" w:ascii="宋体" w:hAnsi="宋体" w:cs="宋体"/>
          <w:bCs/>
          <w:color w:val="000000"/>
          <w:sz w:val="24"/>
          <w:szCs w:val="24"/>
          <w:shd w:val="clear" w:color="auto" w:fill="FFFFFF"/>
        </w:rPr>
        <w:t>进行采购</w:t>
      </w:r>
      <w:r>
        <w:rPr>
          <w:rFonts w:hint="eastAsia" w:ascii="宋体" w:hAnsi="宋体" w:cs="宋体"/>
          <w:sz w:val="24"/>
          <w:szCs w:val="24"/>
        </w:rPr>
        <w:t>，欢迎贵厂（公司）按照本邀请书的有关要求前来磋商。</w:t>
      </w:r>
    </w:p>
    <w:p>
      <w:pPr>
        <w:spacing w:line="360" w:lineRule="auto"/>
        <w:ind w:firstLine="480" w:firstLineChars="200"/>
        <w:rPr>
          <w:rFonts w:ascii="宋体" w:hAnsi="宋体" w:cs="宋体"/>
          <w:sz w:val="24"/>
          <w:szCs w:val="24"/>
        </w:rPr>
      </w:pPr>
      <w:r>
        <w:rPr>
          <w:rFonts w:hint="eastAsia" w:ascii="宋体" w:hAnsi="宋体" w:cs="宋体"/>
          <w:bCs/>
          <w:sz w:val="24"/>
          <w:szCs w:val="24"/>
        </w:rPr>
        <w:t>1.采购项</w:t>
      </w:r>
      <w:r>
        <w:rPr>
          <w:rFonts w:hint="eastAsia" w:ascii="宋体" w:hAnsi="宋体" w:cs="宋体"/>
          <w:sz w:val="24"/>
          <w:szCs w:val="24"/>
        </w:rPr>
        <w:t>目：自然灾害综合风险普查公益宣传视频集制作</w:t>
      </w:r>
    </w:p>
    <w:p>
      <w:pPr>
        <w:spacing w:line="360" w:lineRule="auto"/>
        <w:ind w:firstLine="480" w:firstLineChars="200"/>
        <w:rPr>
          <w:rFonts w:ascii="宋体" w:hAnsi="宋体" w:cs="宋体"/>
          <w:bCs/>
          <w:sz w:val="24"/>
          <w:szCs w:val="24"/>
        </w:rPr>
      </w:pPr>
      <w:bookmarkStart w:id="6" w:name="_Toc4482"/>
      <w:bookmarkStart w:id="7" w:name="_Toc32307"/>
      <w:r>
        <w:rPr>
          <w:rFonts w:hint="eastAsia" w:ascii="宋体" w:hAnsi="宋体" w:cs="宋体"/>
          <w:bCs/>
          <w:sz w:val="24"/>
          <w:szCs w:val="24"/>
        </w:rPr>
        <w:t>2.项目概述（具体内容详见第七章）</w:t>
      </w:r>
    </w:p>
    <w:bookmarkEnd w:id="6"/>
    <w:bookmarkEnd w:id="7"/>
    <w:p>
      <w:pPr>
        <w:spacing w:line="360" w:lineRule="auto"/>
        <w:ind w:firstLine="480" w:firstLineChars="200"/>
        <w:jc w:val="left"/>
        <w:rPr>
          <w:rFonts w:ascii="宋体" w:hAnsi="宋体" w:cs="宋体"/>
          <w:sz w:val="24"/>
          <w:szCs w:val="24"/>
        </w:rPr>
      </w:pPr>
      <w:r>
        <w:rPr>
          <w:rFonts w:hint="eastAsia" w:ascii="宋体" w:hAnsi="宋体" w:cs="宋体"/>
          <w:sz w:val="24"/>
          <w:szCs w:val="24"/>
        </w:rPr>
        <w:t>为深入贯彻落实国务院第一次全国自然灾害综合风险普查领导小组办公室印发的《第一次全国自然灾害综合风险普查实施方案（试点版）》和《四川省第一次全国自然灾害综合风险普查总体方案》明确的任务要求，进一步加强各级政府和部门对风险普查工作的重视，增强广大人民群众对风险普查工作的了解和支持，促进社会各界对风险普查工作的配合与参与，为风险普查工作的顺利开展创造良好的社会环境和舆论氛围，现就自然灾害综合风险普查公益宣传视频集制作项目向社会购买服务。该项目主要内容为：制作专题片，主要分三类，第一类为综述公益宣传片，共一集，时长约4分钟；第二类为社区公益宣传片，共一集，时长约2分钟；第三类为新媒体公益宣传片，共两集、每集时长约1分钟。采用普通话配音，配合字幕、配乐、案例、动画等形式，让观看者能直观了解风险普查的目的意义、方式方法等，从而更好地推进风险普查工作。</w:t>
      </w:r>
    </w:p>
    <w:p>
      <w:pPr>
        <w:pStyle w:val="18"/>
        <w:spacing w:line="360" w:lineRule="auto"/>
        <w:ind w:firstLine="480"/>
        <w:rPr>
          <w:rFonts w:ascii="宋体" w:hAnsi="宋体" w:cs="宋体"/>
          <w:bCs/>
          <w:sz w:val="24"/>
        </w:rPr>
      </w:pPr>
      <w:r>
        <w:rPr>
          <w:rFonts w:hint="eastAsia" w:ascii="宋体" w:hAnsi="宋体" w:cs="宋体"/>
          <w:bCs/>
          <w:sz w:val="24"/>
        </w:rPr>
        <w:t>3.本项目采购预算：人民币20万元。</w:t>
      </w:r>
    </w:p>
    <w:p>
      <w:pPr>
        <w:widowControl/>
        <w:spacing w:line="360" w:lineRule="auto"/>
        <w:ind w:firstLine="480" w:firstLineChars="200"/>
        <w:jc w:val="left"/>
        <w:rPr>
          <w:rFonts w:ascii="宋体" w:hAnsi="宋体" w:cs="宋体"/>
          <w:bCs/>
          <w:sz w:val="24"/>
          <w:szCs w:val="24"/>
        </w:rPr>
      </w:pPr>
      <w:r>
        <w:rPr>
          <w:rFonts w:hint="eastAsia" w:ascii="宋体" w:hAnsi="宋体" w:cs="宋体"/>
          <w:bCs/>
          <w:sz w:val="24"/>
          <w:szCs w:val="24"/>
        </w:rPr>
        <w:t>4.磋商文件</w:t>
      </w:r>
      <w:r>
        <w:rPr>
          <w:rFonts w:hint="eastAsia" w:ascii="宋体" w:hAnsi="宋体" w:cs="宋体"/>
          <w:sz w:val="24"/>
          <w:szCs w:val="24"/>
        </w:rPr>
        <w:t>自2020年12月</w:t>
      </w:r>
      <w:r>
        <w:rPr>
          <w:rFonts w:hint="eastAsia" w:ascii="宋体" w:hAnsi="宋体" w:cs="宋体"/>
          <w:sz w:val="24"/>
          <w:szCs w:val="24"/>
          <w:lang w:val="en-US" w:eastAsia="zh-CN"/>
        </w:rPr>
        <w:t>3</w:t>
      </w:r>
      <w:r>
        <w:rPr>
          <w:rFonts w:hint="eastAsia" w:ascii="宋体" w:hAnsi="宋体" w:cs="宋体"/>
          <w:sz w:val="24"/>
          <w:szCs w:val="24"/>
        </w:rPr>
        <w:t>日至2020年12月1</w:t>
      </w:r>
      <w:r>
        <w:rPr>
          <w:rFonts w:hint="eastAsia" w:ascii="宋体" w:hAnsi="宋体" w:cs="宋体"/>
          <w:sz w:val="24"/>
          <w:szCs w:val="24"/>
          <w:lang w:val="en-US" w:eastAsia="zh-CN"/>
        </w:rPr>
        <w:t>4</w:t>
      </w:r>
      <w:r>
        <w:rPr>
          <w:rFonts w:hint="eastAsia" w:ascii="宋体" w:hAnsi="宋体" w:cs="宋体"/>
          <w:sz w:val="24"/>
          <w:szCs w:val="24"/>
        </w:rPr>
        <w:t>日17:00，</w:t>
      </w:r>
      <w:r>
        <w:rPr>
          <w:rFonts w:hint="eastAsia" w:ascii="宋体" w:hAnsi="宋体" w:cs="宋体"/>
          <w:bCs/>
          <w:sz w:val="24"/>
          <w:szCs w:val="24"/>
        </w:rPr>
        <w:t>在四川省应急管理厅官网获取。</w:t>
      </w:r>
    </w:p>
    <w:p>
      <w:pPr>
        <w:widowControl/>
        <w:spacing w:line="360" w:lineRule="auto"/>
        <w:ind w:firstLine="480" w:firstLineChars="200"/>
        <w:rPr>
          <w:rFonts w:ascii="宋体" w:hAnsi="宋体" w:cs="宋体"/>
          <w:bCs/>
          <w:sz w:val="24"/>
          <w:szCs w:val="24"/>
        </w:rPr>
      </w:pPr>
      <w:r>
        <w:rPr>
          <w:rFonts w:hint="eastAsia" w:ascii="宋体" w:hAnsi="宋体" w:cs="宋体"/>
          <w:bCs/>
          <w:sz w:val="24"/>
          <w:szCs w:val="24"/>
        </w:rPr>
        <w:t>5.供应商提交响应文件截止</w:t>
      </w:r>
      <w:r>
        <w:rPr>
          <w:rFonts w:hint="eastAsia" w:ascii="宋体" w:hAnsi="宋体" w:cs="宋体"/>
          <w:sz w:val="24"/>
          <w:szCs w:val="24"/>
        </w:rPr>
        <w:t>时间：2020年12月1</w:t>
      </w:r>
      <w:r>
        <w:rPr>
          <w:rFonts w:hint="eastAsia" w:ascii="宋体" w:hAnsi="宋体" w:cs="宋体"/>
          <w:sz w:val="24"/>
          <w:szCs w:val="24"/>
          <w:lang w:val="en-US" w:eastAsia="zh-CN"/>
        </w:rPr>
        <w:t>5</w:t>
      </w:r>
      <w:r>
        <w:rPr>
          <w:rFonts w:hint="eastAsia" w:ascii="宋体" w:hAnsi="宋体" w:cs="宋体"/>
          <w:sz w:val="24"/>
          <w:szCs w:val="24"/>
        </w:rPr>
        <w:t>日9:30</w:t>
      </w:r>
      <w:r>
        <w:rPr>
          <w:rFonts w:hint="eastAsia" w:ascii="宋体" w:hAnsi="宋体" w:cs="宋体"/>
          <w:bCs/>
          <w:sz w:val="24"/>
          <w:szCs w:val="24"/>
        </w:rPr>
        <w:t>（</w:t>
      </w:r>
      <w:bookmarkStart w:id="137" w:name="_GoBack"/>
      <w:bookmarkEnd w:id="137"/>
      <w:r>
        <w:rPr>
          <w:rFonts w:hint="eastAsia" w:ascii="宋体" w:hAnsi="宋体" w:cs="宋体"/>
          <w:bCs/>
          <w:sz w:val="24"/>
          <w:szCs w:val="24"/>
        </w:rPr>
        <w:t>北京时间）。</w:t>
      </w:r>
    </w:p>
    <w:p>
      <w:pPr>
        <w:widowControl/>
        <w:spacing w:line="360" w:lineRule="auto"/>
        <w:ind w:firstLine="480" w:firstLineChars="200"/>
        <w:rPr>
          <w:rFonts w:ascii="宋体" w:hAnsi="宋体" w:cs="宋体"/>
          <w:bCs/>
          <w:sz w:val="24"/>
          <w:szCs w:val="24"/>
        </w:rPr>
      </w:pPr>
      <w:r>
        <w:rPr>
          <w:rFonts w:hint="eastAsia" w:ascii="宋体" w:hAnsi="宋体" w:cs="宋体"/>
          <w:bCs/>
          <w:sz w:val="24"/>
          <w:szCs w:val="24"/>
        </w:rPr>
        <w:t>6.开启时间:磋商小组组建后立即开启。</w:t>
      </w:r>
    </w:p>
    <w:p>
      <w:pPr>
        <w:spacing w:line="360" w:lineRule="auto"/>
        <w:ind w:firstLine="480" w:firstLineChars="200"/>
        <w:jc w:val="left"/>
        <w:rPr>
          <w:rFonts w:hint="eastAsia" w:ascii="宋体" w:hAnsi="宋体" w:cs="宋体"/>
          <w:sz w:val="24"/>
          <w:szCs w:val="24"/>
        </w:rPr>
      </w:pPr>
      <w:r>
        <w:rPr>
          <w:rFonts w:hint="eastAsia" w:ascii="宋体" w:hAnsi="宋体" w:cs="宋体"/>
          <w:bCs/>
          <w:sz w:val="24"/>
          <w:szCs w:val="24"/>
        </w:rPr>
        <w:t>7.提交响应文件地</w:t>
      </w:r>
      <w:r>
        <w:rPr>
          <w:rFonts w:hint="eastAsia" w:ascii="宋体" w:hAnsi="宋体" w:cs="宋体"/>
          <w:sz w:val="24"/>
          <w:szCs w:val="24"/>
        </w:rPr>
        <w:t>点：四川省成都市武阳大道三段四川省应急管理厅713办公室。</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8磋商地点：四川省成都市武阳大道三段201号四川省应急管理厅。</w:t>
      </w:r>
    </w:p>
    <w:p>
      <w:pPr>
        <w:spacing w:line="360" w:lineRule="auto"/>
        <w:ind w:firstLine="480" w:firstLineChars="200"/>
        <w:rPr>
          <w:rFonts w:ascii="宋体" w:hAnsi="宋体" w:cs="宋体"/>
          <w:bCs/>
          <w:sz w:val="24"/>
          <w:szCs w:val="24"/>
        </w:rPr>
      </w:pPr>
      <w:r>
        <w:rPr>
          <w:rFonts w:hint="eastAsia" w:ascii="宋体" w:hAnsi="宋体" w:cs="宋体"/>
          <w:bCs/>
          <w:sz w:val="24"/>
          <w:szCs w:val="24"/>
        </w:rPr>
        <w:t>9.参加磋商的供应商必须于当日报名签到截止时间前签到并递交响应文件，供应商在截止时间后送达的响应文件，为无效响应文件。</w:t>
      </w:r>
    </w:p>
    <w:p>
      <w:pPr>
        <w:pStyle w:val="14"/>
        <w:ind w:firstLine="480"/>
        <w:rPr>
          <w:rFonts w:ascii="宋体" w:hAnsi="宋体" w:cs="宋体"/>
          <w:bCs/>
          <w:sz w:val="24"/>
        </w:rPr>
      </w:pPr>
      <w:r>
        <w:rPr>
          <w:rFonts w:hint="eastAsia" w:ascii="宋体" w:hAnsi="宋体" w:cs="宋体"/>
          <w:bCs/>
          <w:sz w:val="24"/>
        </w:rPr>
        <w:t>10.采 购 人： 四川省应急管理厅</w:t>
      </w:r>
    </w:p>
    <w:p>
      <w:pPr>
        <w:pStyle w:val="14"/>
        <w:ind w:firstLine="480"/>
        <w:rPr>
          <w:rFonts w:ascii="宋体" w:hAnsi="宋体" w:cs="宋体"/>
          <w:bCs/>
          <w:sz w:val="24"/>
        </w:rPr>
      </w:pPr>
      <w:r>
        <w:rPr>
          <w:rFonts w:hint="eastAsia" w:ascii="宋体" w:hAnsi="宋体" w:cs="宋体"/>
          <w:bCs/>
          <w:sz w:val="24"/>
        </w:rPr>
        <w:t xml:space="preserve">  联 系 人： 林禹</w:t>
      </w:r>
    </w:p>
    <w:p>
      <w:pPr>
        <w:pStyle w:val="14"/>
        <w:ind w:firstLine="480"/>
        <w:rPr>
          <w:rFonts w:ascii="宋体" w:hAnsi="宋体" w:cs="宋体"/>
          <w:bCs/>
          <w:sz w:val="24"/>
        </w:rPr>
      </w:pPr>
      <w:r>
        <w:rPr>
          <w:rFonts w:hint="eastAsia" w:ascii="宋体" w:hAnsi="宋体" w:cs="宋体"/>
          <w:bCs/>
          <w:sz w:val="24"/>
        </w:rPr>
        <w:t xml:space="preserve">  联系电话： 18381684293</w:t>
      </w:r>
    </w:p>
    <w:p>
      <w:pPr>
        <w:pStyle w:val="14"/>
        <w:ind w:firstLine="720" w:firstLineChars="300"/>
        <w:rPr>
          <w:rFonts w:ascii="宋体" w:hAnsi="宋体" w:cs="宋体"/>
          <w:sz w:val="24"/>
        </w:rPr>
      </w:pPr>
      <w:r>
        <w:rPr>
          <w:rFonts w:hint="eastAsia" w:ascii="宋体" w:hAnsi="宋体" w:cs="宋体"/>
          <w:sz w:val="24"/>
        </w:rPr>
        <w:t>地    址： 四川省成都市武阳大道三段201号</w:t>
      </w:r>
    </w:p>
    <w:p>
      <w:pPr>
        <w:spacing w:line="360" w:lineRule="auto"/>
        <w:rPr>
          <w:rFonts w:ascii="宋体" w:hAnsi="宋体" w:cs="宋体"/>
          <w:sz w:val="24"/>
          <w:szCs w:val="24"/>
        </w:rPr>
      </w:pPr>
    </w:p>
    <w:p>
      <w:pPr>
        <w:pStyle w:val="2"/>
        <w:rPr>
          <w:rFonts w:ascii="宋体" w:hAnsi="宋体" w:eastAsia="宋体" w:cs="宋体"/>
        </w:rPr>
      </w:pPr>
      <w:bookmarkStart w:id="8" w:name="_Toc6266"/>
      <w:bookmarkStart w:id="9" w:name="_Toc20338"/>
      <w:bookmarkStart w:id="10" w:name="_Toc193106175"/>
      <w:bookmarkStart w:id="11" w:name="_Toc193106064"/>
      <w:bookmarkStart w:id="12" w:name="_Toc21614"/>
      <w:bookmarkStart w:id="13" w:name="_Toc193105918"/>
      <w:r>
        <w:rPr>
          <w:rFonts w:hint="eastAsia" w:ascii="宋体" w:hAnsi="宋体" w:eastAsia="宋体" w:cs="宋体"/>
        </w:rPr>
        <w:t>二、磋商须知</w:t>
      </w:r>
      <w:bookmarkEnd w:id="8"/>
      <w:bookmarkEnd w:id="9"/>
      <w:bookmarkEnd w:id="10"/>
      <w:bookmarkEnd w:id="11"/>
      <w:bookmarkEnd w:id="12"/>
      <w:bookmarkEnd w:id="13"/>
    </w:p>
    <w:p>
      <w:pPr>
        <w:jc w:val="center"/>
        <w:rPr>
          <w:rFonts w:ascii="宋体" w:hAnsi="宋体" w:cs="宋体"/>
          <w:sz w:val="28"/>
          <w:szCs w:val="28"/>
        </w:rPr>
      </w:pPr>
      <w:r>
        <w:rPr>
          <w:rFonts w:hint="eastAsia" w:ascii="宋体" w:hAnsi="宋体" w:cs="宋体"/>
          <w:sz w:val="28"/>
          <w:szCs w:val="28"/>
        </w:rPr>
        <w:t>（一）磋商须知前附表</w:t>
      </w:r>
    </w:p>
    <w:tbl>
      <w:tblPr>
        <w:tblStyle w:val="11"/>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1012" w:type="dxa"/>
            <w:vAlign w:val="center"/>
          </w:tcPr>
          <w:p>
            <w:pPr>
              <w:pStyle w:val="15"/>
              <w:jc w:val="center"/>
              <w:rPr>
                <w:kern w:val="2"/>
                <w:szCs w:val="28"/>
              </w:rPr>
            </w:pPr>
            <w:r>
              <w:rPr>
                <w:rFonts w:hint="eastAsia"/>
                <w:kern w:val="2"/>
                <w:szCs w:val="28"/>
              </w:rPr>
              <w:t>序号</w:t>
            </w:r>
          </w:p>
        </w:tc>
        <w:tc>
          <w:tcPr>
            <w:tcW w:w="2408" w:type="dxa"/>
            <w:vAlign w:val="center"/>
          </w:tcPr>
          <w:p>
            <w:pPr>
              <w:pStyle w:val="15"/>
              <w:ind w:left="38"/>
              <w:jc w:val="center"/>
              <w:rPr>
                <w:kern w:val="2"/>
                <w:szCs w:val="28"/>
              </w:rPr>
            </w:pPr>
            <w:r>
              <w:rPr>
                <w:rFonts w:hint="eastAsia"/>
                <w:kern w:val="2"/>
                <w:szCs w:val="28"/>
              </w:rPr>
              <w:t xml:space="preserve">条款名称 </w:t>
            </w:r>
          </w:p>
        </w:tc>
        <w:tc>
          <w:tcPr>
            <w:tcW w:w="6081" w:type="dxa"/>
            <w:vAlign w:val="center"/>
          </w:tcPr>
          <w:p>
            <w:pPr>
              <w:pStyle w:val="15"/>
              <w:jc w:val="center"/>
              <w:rPr>
                <w:kern w:val="2"/>
                <w:szCs w:val="28"/>
              </w:rPr>
            </w:pPr>
            <w:r>
              <w:rPr>
                <w:rFonts w:hint="eastAsia"/>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82" w:hRule="exact"/>
          <w:jc w:val="center"/>
        </w:trPr>
        <w:tc>
          <w:tcPr>
            <w:tcW w:w="1012" w:type="dxa"/>
            <w:vMerge w:val="restart"/>
            <w:vAlign w:val="center"/>
          </w:tcPr>
          <w:p>
            <w:pPr>
              <w:pStyle w:val="15"/>
              <w:ind w:right="264"/>
              <w:jc w:val="center"/>
              <w:rPr>
                <w:kern w:val="2"/>
                <w:szCs w:val="28"/>
              </w:rPr>
            </w:pPr>
            <w:r>
              <w:rPr>
                <w:rFonts w:hint="eastAsia"/>
                <w:kern w:val="2"/>
                <w:szCs w:val="28"/>
              </w:rPr>
              <w:t>1</w:t>
            </w:r>
          </w:p>
        </w:tc>
        <w:tc>
          <w:tcPr>
            <w:tcW w:w="2408" w:type="dxa"/>
            <w:tcBorders>
              <w:bottom w:val="single" w:color="auto" w:sz="4" w:space="0"/>
            </w:tcBorders>
            <w:vAlign w:val="center"/>
          </w:tcPr>
          <w:p>
            <w:pPr>
              <w:pStyle w:val="15"/>
              <w:spacing w:line="360" w:lineRule="exact"/>
              <w:jc w:val="center"/>
              <w:rPr>
                <w:kern w:val="2"/>
                <w:sz w:val="21"/>
                <w:szCs w:val="21"/>
              </w:rPr>
            </w:pPr>
            <w:r>
              <w:rPr>
                <w:rFonts w:hint="eastAsia"/>
                <w:kern w:val="2"/>
                <w:sz w:val="21"/>
                <w:szCs w:val="21"/>
              </w:rPr>
              <w:t>预算</w:t>
            </w:r>
          </w:p>
        </w:tc>
        <w:tc>
          <w:tcPr>
            <w:tcW w:w="6081" w:type="dxa"/>
            <w:tcBorders>
              <w:bottom w:val="single" w:color="auto" w:sz="4" w:space="0"/>
            </w:tcBorders>
            <w:vAlign w:val="center"/>
          </w:tcPr>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20万元。</w:t>
            </w:r>
          </w:p>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超过预算金额的响应文件为无效响应。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0" w:hRule="exact"/>
          <w:jc w:val="center"/>
        </w:trPr>
        <w:tc>
          <w:tcPr>
            <w:tcW w:w="1012" w:type="dxa"/>
            <w:vMerge w:val="continue"/>
            <w:vAlign w:val="center"/>
          </w:tcPr>
          <w:p>
            <w:pPr>
              <w:pStyle w:val="15"/>
              <w:ind w:right="264"/>
              <w:jc w:val="center"/>
              <w:rPr>
                <w:kern w:val="2"/>
                <w:szCs w:val="28"/>
              </w:rPr>
            </w:pPr>
          </w:p>
        </w:tc>
        <w:tc>
          <w:tcPr>
            <w:tcW w:w="2408" w:type="dxa"/>
            <w:tcBorders>
              <w:top w:val="single" w:color="auto" w:sz="4" w:space="0"/>
            </w:tcBorders>
            <w:vAlign w:val="center"/>
          </w:tcPr>
          <w:p>
            <w:pPr>
              <w:pStyle w:val="15"/>
              <w:spacing w:line="360" w:lineRule="exact"/>
              <w:jc w:val="center"/>
              <w:rPr>
                <w:kern w:val="2"/>
                <w:sz w:val="21"/>
                <w:szCs w:val="21"/>
              </w:rPr>
            </w:pPr>
            <w:r>
              <w:rPr>
                <w:rFonts w:hint="eastAsia"/>
                <w:kern w:val="2"/>
                <w:sz w:val="21"/>
                <w:szCs w:val="21"/>
              </w:rPr>
              <w:t>最高限价</w:t>
            </w:r>
          </w:p>
        </w:tc>
        <w:tc>
          <w:tcPr>
            <w:tcW w:w="6081" w:type="dxa"/>
            <w:tcBorders>
              <w:top w:val="single" w:color="auto" w:sz="4" w:space="0"/>
            </w:tcBorders>
            <w:vAlign w:val="center"/>
          </w:tcPr>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20万元。</w:t>
            </w:r>
          </w:p>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超过最高限价的响应文件为无效响应。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13" w:hRule="atLeast"/>
          <w:jc w:val="center"/>
        </w:trPr>
        <w:tc>
          <w:tcPr>
            <w:tcW w:w="1012" w:type="dxa"/>
            <w:vAlign w:val="center"/>
          </w:tcPr>
          <w:p>
            <w:pPr>
              <w:pStyle w:val="15"/>
              <w:ind w:right="264"/>
              <w:jc w:val="center"/>
              <w:rPr>
                <w:kern w:val="2"/>
                <w:szCs w:val="28"/>
              </w:rPr>
            </w:pPr>
            <w:r>
              <w:rPr>
                <w:rFonts w:hint="eastAsia"/>
                <w:kern w:val="2"/>
                <w:szCs w:val="28"/>
              </w:rPr>
              <w:t>2</w:t>
            </w:r>
          </w:p>
        </w:tc>
        <w:tc>
          <w:tcPr>
            <w:tcW w:w="2408" w:type="dxa"/>
            <w:vAlign w:val="center"/>
          </w:tcPr>
          <w:p>
            <w:pPr>
              <w:pStyle w:val="15"/>
              <w:spacing w:line="360" w:lineRule="exact"/>
              <w:jc w:val="center"/>
              <w:rPr>
                <w:kern w:val="2"/>
                <w:sz w:val="21"/>
                <w:szCs w:val="21"/>
              </w:rPr>
            </w:pPr>
            <w:r>
              <w:rPr>
                <w:rFonts w:hint="eastAsia"/>
                <w:kern w:val="2"/>
                <w:sz w:val="21"/>
                <w:szCs w:val="21"/>
              </w:rPr>
              <w:t>联合体</w:t>
            </w:r>
          </w:p>
        </w:tc>
        <w:tc>
          <w:tcPr>
            <w:tcW w:w="6081" w:type="dxa"/>
            <w:vAlign w:val="center"/>
          </w:tcPr>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本项目不接受联合体参加磋商。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6" w:hRule="exact"/>
          <w:jc w:val="center"/>
        </w:trPr>
        <w:tc>
          <w:tcPr>
            <w:tcW w:w="1012" w:type="dxa"/>
            <w:vAlign w:val="center"/>
          </w:tcPr>
          <w:p>
            <w:pPr>
              <w:pStyle w:val="15"/>
              <w:ind w:right="264"/>
              <w:jc w:val="center"/>
              <w:rPr>
                <w:kern w:val="2"/>
                <w:szCs w:val="28"/>
              </w:rPr>
            </w:pPr>
            <w:r>
              <w:rPr>
                <w:rFonts w:hint="eastAsia"/>
                <w:kern w:val="2"/>
                <w:szCs w:val="28"/>
              </w:rPr>
              <w:t>3</w:t>
            </w:r>
          </w:p>
        </w:tc>
        <w:tc>
          <w:tcPr>
            <w:tcW w:w="2408" w:type="dxa"/>
            <w:vAlign w:val="center"/>
          </w:tcPr>
          <w:p>
            <w:pPr>
              <w:pStyle w:val="15"/>
              <w:spacing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磋商有效期</w:t>
            </w:r>
          </w:p>
        </w:tc>
        <w:tc>
          <w:tcPr>
            <w:tcW w:w="6081" w:type="dxa"/>
            <w:vAlign w:val="center"/>
          </w:tcPr>
          <w:p>
            <w:pPr>
              <w:pStyle w:val="15"/>
              <w:spacing w:line="360" w:lineRule="exact"/>
              <w:ind w:right="264"/>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自响应文件递交截止时间之日起90日。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221" w:hRule="exact"/>
          <w:jc w:val="center"/>
        </w:trPr>
        <w:tc>
          <w:tcPr>
            <w:tcW w:w="1012" w:type="dxa"/>
            <w:vAlign w:val="center"/>
          </w:tcPr>
          <w:p>
            <w:pPr>
              <w:pStyle w:val="15"/>
              <w:ind w:right="264"/>
              <w:jc w:val="center"/>
              <w:rPr>
                <w:kern w:val="2"/>
                <w:szCs w:val="28"/>
              </w:rPr>
            </w:pPr>
            <w:r>
              <w:rPr>
                <w:rFonts w:hint="eastAsia"/>
                <w:kern w:val="2"/>
                <w:szCs w:val="28"/>
              </w:rPr>
              <w:t>4</w:t>
            </w:r>
          </w:p>
        </w:tc>
        <w:tc>
          <w:tcPr>
            <w:tcW w:w="2408" w:type="dxa"/>
            <w:vAlign w:val="center"/>
          </w:tcPr>
          <w:p>
            <w:pPr>
              <w:pStyle w:val="15"/>
              <w:spacing w:line="360" w:lineRule="exact"/>
              <w:jc w:val="center"/>
              <w:rPr>
                <w:kern w:val="2"/>
                <w:sz w:val="21"/>
                <w:szCs w:val="21"/>
              </w:rPr>
            </w:pPr>
            <w:r>
              <w:rPr>
                <w:rFonts w:hint="eastAsia"/>
                <w:kern w:val="2"/>
                <w:sz w:val="21"/>
                <w:szCs w:val="21"/>
              </w:rPr>
              <w:t>响应文件份数</w:t>
            </w:r>
          </w:p>
        </w:tc>
        <w:tc>
          <w:tcPr>
            <w:tcW w:w="6081" w:type="dxa"/>
            <w:vAlign w:val="center"/>
          </w:tcPr>
          <w:p>
            <w:pPr>
              <w:pStyle w:val="15"/>
              <w:spacing w:line="360" w:lineRule="exact"/>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color w:val="000000"/>
                <w:sz w:val="21"/>
                <w:szCs w:val="21"/>
              </w:rPr>
              <w:t>响应文件分为资格性响应文件和其他响应文件两部分，分册装订。资格性响应文件一式一份</w:t>
            </w:r>
            <w:r>
              <w:rPr>
                <w:rFonts w:hint="eastAsia" w:asciiTheme="minorEastAsia" w:hAnsiTheme="minorEastAsia" w:eastAsiaTheme="minorEastAsia"/>
                <w:sz w:val="21"/>
                <w:szCs w:val="21"/>
              </w:rPr>
              <w:t>；</w:t>
            </w:r>
            <w:r>
              <w:rPr>
                <w:rFonts w:hint="eastAsia" w:asciiTheme="minorEastAsia" w:hAnsiTheme="minorEastAsia" w:eastAsiaTheme="minorEastAsia"/>
                <w:color w:val="000000"/>
                <w:sz w:val="21"/>
                <w:szCs w:val="21"/>
              </w:rPr>
              <w:t>其他响应文件一式贰份（</w:t>
            </w:r>
            <w:r>
              <w:rPr>
                <w:rFonts w:hint="eastAsia" w:asciiTheme="minorEastAsia" w:hAnsiTheme="minorEastAsia" w:eastAsiaTheme="minorEastAsia"/>
                <w:sz w:val="21"/>
                <w:szCs w:val="21"/>
              </w:rPr>
              <w:t>其中正本1份、副本1份）。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5</w:t>
            </w:r>
          </w:p>
        </w:tc>
        <w:tc>
          <w:tcPr>
            <w:tcW w:w="2408" w:type="dxa"/>
            <w:vAlign w:val="center"/>
          </w:tcPr>
          <w:p>
            <w:pPr>
              <w:pStyle w:val="15"/>
              <w:spacing w:line="360" w:lineRule="exact"/>
              <w:jc w:val="center"/>
              <w:rPr>
                <w:kern w:val="2"/>
                <w:sz w:val="21"/>
                <w:szCs w:val="21"/>
              </w:rPr>
            </w:pPr>
            <w:r>
              <w:rPr>
                <w:rFonts w:hint="eastAsia"/>
                <w:kern w:val="2"/>
                <w:sz w:val="21"/>
                <w:szCs w:val="21"/>
              </w:rPr>
              <w:t>低于成本价不正当</w:t>
            </w:r>
          </w:p>
          <w:p>
            <w:pPr>
              <w:pStyle w:val="15"/>
              <w:spacing w:line="360" w:lineRule="exact"/>
              <w:jc w:val="center"/>
              <w:rPr>
                <w:kern w:val="2"/>
                <w:sz w:val="21"/>
                <w:szCs w:val="21"/>
              </w:rPr>
            </w:pPr>
            <w:r>
              <w:rPr>
                <w:rFonts w:hint="eastAsia"/>
                <w:kern w:val="2"/>
                <w:sz w:val="21"/>
                <w:szCs w:val="21"/>
              </w:rPr>
              <w:t>竞争预防措施</w:t>
            </w:r>
          </w:p>
          <w:p>
            <w:pPr>
              <w:pStyle w:val="15"/>
              <w:spacing w:line="360" w:lineRule="exact"/>
              <w:ind w:left="38"/>
              <w:jc w:val="center"/>
              <w:rPr>
                <w:kern w:val="2"/>
                <w:sz w:val="21"/>
                <w:szCs w:val="21"/>
              </w:rPr>
            </w:pPr>
          </w:p>
        </w:tc>
        <w:tc>
          <w:tcPr>
            <w:tcW w:w="6081" w:type="dxa"/>
            <w:vAlign w:val="center"/>
          </w:tcPr>
          <w:p>
            <w:pPr>
              <w:pStyle w:val="15"/>
              <w:spacing w:line="360" w:lineRule="exac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5"/>
              <w:spacing w:line="360" w:lineRule="exac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5"/>
              <w:spacing w:line="360" w:lineRule="exac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15"/>
              <w:spacing w:line="360" w:lineRule="exact"/>
              <w:ind w:firstLine="420" w:firstLineChars="200"/>
              <w:jc w:val="both"/>
              <w:rPr>
                <w:rFonts w:asciiTheme="minorEastAsia" w:hAnsiTheme="minorEastAsia" w:eastAsiaTheme="minorEastAsia"/>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6</w:t>
            </w:r>
          </w:p>
        </w:tc>
        <w:tc>
          <w:tcPr>
            <w:tcW w:w="2408" w:type="dxa"/>
            <w:vAlign w:val="center"/>
          </w:tcPr>
          <w:p>
            <w:pPr>
              <w:pStyle w:val="15"/>
              <w:spacing w:line="360" w:lineRule="exact"/>
              <w:rPr>
                <w:kern w:val="2"/>
                <w:sz w:val="21"/>
                <w:szCs w:val="21"/>
              </w:rPr>
            </w:pPr>
            <w:r>
              <w:rPr>
                <w:rFonts w:hint="eastAsia"/>
                <w:kern w:val="2"/>
                <w:sz w:val="21"/>
                <w:szCs w:val="21"/>
              </w:rPr>
              <w:t>小微企业（监狱企业</w:t>
            </w:r>
            <w:r>
              <w:rPr>
                <w:rFonts w:hint="eastAsia"/>
                <w:sz w:val="21"/>
                <w:szCs w:val="21"/>
              </w:rPr>
              <w:t>视同小微企业</w:t>
            </w:r>
            <w:r>
              <w:rPr>
                <w:rFonts w:hint="eastAsia"/>
                <w:kern w:val="2"/>
                <w:sz w:val="21"/>
                <w:szCs w:val="21"/>
              </w:rPr>
              <w:t>）价格扣除、残疾人福利性单位价格扣除和失信企业报价加成</w:t>
            </w:r>
            <w:r>
              <w:rPr>
                <w:rFonts w:hint="eastAsia"/>
                <w:sz w:val="21"/>
                <w:szCs w:val="21"/>
              </w:rPr>
              <w:t>（实质性要求）</w:t>
            </w:r>
          </w:p>
        </w:tc>
        <w:tc>
          <w:tcPr>
            <w:tcW w:w="6081" w:type="dxa"/>
            <w:vAlign w:val="center"/>
          </w:tcPr>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一、小微企业（监狱企业视同小微企业）价格扣除</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1、根据《政府采购促进中小企业发展暂行办法》（财库[2011]181号）的规定，对小型和微型企业产品的价格给予6%的价格扣除，用扣除后的价格参与评标。</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2、参加政府采购活动的中小企业应当提供《中小企业声明函》原件。</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3、监狱企业应当提供由省级以上监狱管理局、戒毒管理局（含新疆生产建设兵团）出具的属于监狱企业的证明文件。</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联合体各方均为小型、微型企业的，联合体视同为小型、微型企业享受规定的扶持政策。组成联合体的大中型企业和其他自然人、法人或者其他组织，与小型、微型企业之间不得存在投资关系。 </w:t>
            </w:r>
          </w:p>
          <w:p>
            <w:pPr>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szCs w:val="21"/>
              </w:rPr>
              <w:t>二、</w:t>
            </w:r>
            <w:r>
              <w:rPr>
                <w:rFonts w:hint="eastAsia" w:cs="宋体" w:asciiTheme="minorEastAsia" w:hAnsiTheme="minorEastAsia" w:eastAsiaTheme="minorEastAsia"/>
                <w:kern w:val="0"/>
                <w:szCs w:val="21"/>
              </w:rPr>
              <w:t>残疾人福利性单位价格扣除</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cs="宋体" w:asciiTheme="minorEastAsia" w:hAnsiTheme="minorEastAsia" w:eastAsiaTheme="minorEastAsia"/>
                <w:kern w:val="0"/>
                <w:szCs w:val="21"/>
              </w:rPr>
              <w:t>联合发布关于促进残疾人就业政府采购政策的通知</w:t>
            </w:r>
            <w:r>
              <w:rPr>
                <w:rFonts w:hint="eastAsia" w:cs="宋体" w:asciiTheme="minorEastAsia" w:hAnsiTheme="minorEastAsia" w:eastAsiaTheme="minorEastAsia"/>
                <w:kern w:val="0"/>
                <w:szCs w:val="21"/>
              </w:rPr>
              <w:fldChar w:fldCharType="end"/>
            </w:r>
            <w:r>
              <w:rPr>
                <w:rFonts w:hint="eastAsia" w:cs="宋体" w:asciiTheme="minorEastAsia" w:hAnsiTheme="minorEastAsia" w:eastAsiaTheme="minorEastAsia"/>
                <w:kern w:val="0"/>
                <w:szCs w:val="21"/>
              </w:rPr>
              <w:t>》（财库[2017]141号）的规定，对残疾人福利性单位的价格给予6%的价格扣除，用扣除后的价格参与评审。残疾人福利性单位属于小型、微型企业的，不重复享受政策。</w:t>
            </w:r>
          </w:p>
          <w:p>
            <w:pPr>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2、符合条件的残疾人福利性单位在参加政府采购活动时，应当提供《残疾人福利性单位声明函》，并对声明的真实性负责。若为成交供应商，发布成交结果公告同时公告其《残疾人福利性单位声明函》。</w:t>
            </w:r>
          </w:p>
          <w:p>
            <w:pPr>
              <w:overflowPunct w:val="0"/>
              <w:spacing w:line="34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三、失信企业报价加成</w:t>
            </w:r>
          </w:p>
          <w:p>
            <w:pPr>
              <w:widowControl/>
              <w:overflowPunct w:val="0"/>
              <w:spacing w:line="340" w:lineRule="exact"/>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pStyle w:val="15"/>
              <w:overflowPunct w:val="0"/>
              <w:autoSpaceDE/>
              <w:autoSpaceDN/>
              <w:spacing w:line="340" w:lineRule="exact"/>
              <w:ind w:firstLine="420" w:firstLineChars="200"/>
              <w:jc w:val="both"/>
              <w:rPr>
                <w:rFonts w:asciiTheme="minorEastAsia" w:hAnsiTheme="minorEastAsia" w:eastAsiaTheme="minorEastAsia"/>
                <w:sz w:val="21"/>
                <w:szCs w:val="21"/>
                <w:lang w:val="zh-CN"/>
              </w:rPr>
            </w:pPr>
            <w:r>
              <w:rPr>
                <w:rFonts w:hint="eastAsia" w:asciiTheme="minorEastAsia" w:hAnsiTheme="minorEastAsia" w:eastAsiaTheme="minorEastAsia"/>
                <w:sz w:val="21"/>
                <w:szCs w:val="21"/>
              </w:rPr>
              <w:t>2、</w:t>
            </w:r>
            <w:r>
              <w:rPr>
                <w:rFonts w:hint="eastAsia" w:asciiTheme="minorEastAsia" w:hAnsiTheme="minorEastAsia" w:eastAsiaTheme="minorEastAsia"/>
                <w:b/>
                <w:sz w:val="21"/>
                <w:szCs w:val="21"/>
              </w:rPr>
              <w:t>被纳入法院、工商行政管理部门、税务部门、银行认定的失信名单的作为资格性审查，不适用于本条规定。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7</w:t>
            </w:r>
          </w:p>
        </w:tc>
        <w:tc>
          <w:tcPr>
            <w:tcW w:w="2408" w:type="dxa"/>
            <w:vAlign w:val="center"/>
          </w:tcPr>
          <w:p>
            <w:pPr>
              <w:pStyle w:val="15"/>
              <w:spacing w:line="360" w:lineRule="exact"/>
              <w:rPr>
                <w:kern w:val="2"/>
                <w:sz w:val="21"/>
                <w:szCs w:val="21"/>
              </w:rPr>
            </w:pPr>
            <w:r>
              <w:rPr>
                <w:rFonts w:hint="eastAsia"/>
                <w:kern w:val="2"/>
                <w:sz w:val="21"/>
                <w:szCs w:val="21"/>
              </w:rPr>
              <w:t>对采购文件中资格条件，技术指标、参数，评标办法以及其他采购需求提出的询问和质疑</w:t>
            </w:r>
          </w:p>
        </w:tc>
        <w:tc>
          <w:tcPr>
            <w:tcW w:w="6081" w:type="dxa"/>
            <w:vAlign w:val="center"/>
          </w:tcPr>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向采购人提出，并由采购人按相关规定作出答复。</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提出质疑时间：下载磋商文件之日起七个工作日内。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8</w:t>
            </w:r>
          </w:p>
        </w:tc>
        <w:tc>
          <w:tcPr>
            <w:tcW w:w="2408" w:type="dxa"/>
            <w:vAlign w:val="center"/>
          </w:tcPr>
          <w:p>
            <w:pPr>
              <w:pStyle w:val="15"/>
              <w:spacing w:line="360" w:lineRule="exact"/>
              <w:rPr>
                <w:kern w:val="2"/>
                <w:sz w:val="21"/>
                <w:szCs w:val="21"/>
              </w:rPr>
            </w:pPr>
            <w:r>
              <w:rPr>
                <w:rFonts w:hint="eastAsia"/>
                <w:kern w:val="2"/>
                <w:sz w:val="21"/>
                <w:szCs w:val="21"/>
              </w:rPr>
              <w:t>对采购过程和采购结果的的询问和质疑</w:t>
            </w:r>
          </w:p>
        </w:tc>
        <w:tc>
          <w:tcPr>
            <w:tcW w:w="6081" w:type="dxa"/>
          </w:tcPr>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受理单位：四川省应急管理厅</w:t>
            </w:r>
          </w:p>
          <w:p>
            <w:pPr>
              <w:pStyle w:val="14"/>
              <w:spacing w:line="36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联 系 人： 林禹</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 18381684293</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对采购过程提出质疑时间：为各采购程序环节结束之日起七个工作日内。</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对采购结果提出质疑时间：为中标结果公告发布次日起七个工作日内。</w:t>
            </w:r>
          </w:p>
        </w:tc>
      </w:tr>
    </w:tbl>
    <w:p>
      <w:pPr>
        <w:pStyle w:val="4"/>
        <w:ind w:firstLine="566"/>
        <w:jc w:val="center"/>
        <w:rPr>
          <w:rFonts w:cs="宋体"/>
          <w:sz w:val="28"/>
          <w:szCs w:val="28"/>
        </w:rPr>
      </w:pPr>
      <w:r>
        <w:rPr>
          <w:rFonts w:hint="eastAsia" w:cs="宋体"/>
          <w:sz w:val="28"/>
          <w:szCs w:val="28"/>
        </w:rPr>
        <w:t>（二）总则</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1.适用范围</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本磋商文件仅适用于本磋商邀请中所叙述的货物和服务采购。</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2.磋商双方</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（1）由采购单位组织的有关专家和用户代表参加的磋商小组。本次磋商采购单位为四川省应急管理厅。</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（2）参加磋商的供应商。</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3.有关要求</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磋商的供应商应仔细阅读磋商文件的所有内容，按照磋商文件的要求提供响应文件，并保证所提供的全部资料的真实性和有效性，一经发现有虚假行为的，将取消其参加磋商或成交资格，并承担相应的法律责任。</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（2）供应商对其提交的响应文件的真实性、合法性承担法律责任。</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4.报价有效期</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（1）有效期短于规定期限的报价，将被视为无效响应。</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（2）在特殊情况下，采购单位于原报价有效期满之前，可向供应商提出延长报价有效期的要求。这种要求与答复均应采用书面形式。供应商可以拒绝采购单位的这一要求而放弃报价。</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5.响应文件的印制 </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磋商的供应商应按照磋商须知的要求，准备响应文件。响应文件分为资格性响应文件和其他响应文件两部分，分册装订。资格性响应文件一式一份；其他响应文件一式贰份（其中正本1份、副本1份），封面上标注“正本”、“副本”字样、项目名称和供应商名称。</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视为无效报价。</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（3）响应文件不得使用合页装订，装订应牢固，不易散落。</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（4）响应文件统一用A4幅面纸。</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6.响应文件的密封及递交</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资格性响应文件和其他响应文件分别装订成册，将响应文件密封送达磋商地点。在规定的报名签到截止时间前由各参加磋商的供应商代表递交。</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在提交响应文件截止时间前，可以对所提交的响应文件进行补充、修改或者撤回，并书面通知采购人、采购单位。补充、修改的内容作为响应文件的组成部分。补充、修改的内容与响应文件不一致的，以补充、修改的内容为准。</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7.付款</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成交供应商依照磋商文件规定和响应文件承诺与采购单位签订采购合同。合同履行完毕后，采购单位办理支付手续。</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8.单位负责人为同一人或者存在直接控股、管理关系的不同供应商，不得参加同一合同项下的政府采购活动。</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9.为采购项目提供整体设计、规范编制或者项目管理、监理、检测等服务的供应商，不得再参加该采购项目的其他采购活动。</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10．两家以上的供应商不得在同一合同项下的采购项目中，同时委托同一个自然人、同一家庭的人员、同一单位的人员作为其代理人，否则，其响应文件作为无效处理。</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11.供应商拟将项目的非主体、非关键性工作交由他人完成的，应当在响应文件中载明。</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12.出现下列情形之一的，本次竞争性磋商采购活动终止：</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（1）因情况变化，不再符合规定的竞争性磋商采购方式适用情形的；</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（2）出现影响采购公正的违法、违规的；</w:t>
      </w:r>
    </w:p>
    <w:p>
      <w:pPr>
        <w:kinsoku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（3）在采购过程中符合要求的供应商或者报价未超过采购预算的供应商不足三家的(符合财库[2015]124号文件的按通知执行)。</w:t>
      </w: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pStyle w:val="2"/>
        <w:rPr>
          <w:rFonts w:ascii="宋体" w:hAnsi="宋体" w:eastAsia="宋体" w:cs="宋体"/>
        </w:rPr>
      </w:pPr>
      <w:bookmarkStart w:id="14" w:name="_Toc1020"/>
      <w:bookmarkStart w:id="15" w:name="_Toc25068"/>
      <w:bookmarkStart w:id="16" w:name="_Toc26477"/>
      <w:r>
        <w:rPr>
          <w:rFonts w:hint="eastAsia" w:ascii="宋体" w:hAnsi="宋体" w:eastAsia="宋体" w:cs="宋体"/>
        </w:rPr>
        <w:t>三、确定邀请参加磋商的供应商数量和方式</w:t>
      </w:r>
      <w:bookmarkEnd w:id="14"/>
      <w:bookmarkEnd w:id="15"/>
      <w:bookmarkEnd w:id="16"/>
    </w:p>
    <w:p>
      <w:pPr>
        <w:pStyle w:val="4"/>
        <w:kinsoku w:val="0"/>
        <w:ind w:right="0" w:rightChars="0" w:firstLine="480" w:firstLineChars="200"/>
        <w:rPr>
          <w:rFonts w:cs="宋体"/>
        </w:rPr>
      </w:pPr>
      <w:r>
        <w:rPr>
          <w:rFonts w:hint="eastAsia" w:cs="宋体"/>
        </w:rPr>
        <w:t>邀请参加磋商的供应商数量：不少于3家。</w:t>
      </w:r>
    </w:p>
    <w:p>
      <w:pPr>
        <w:pStyle w:val="4"/>
        <w:kinsoku w:val="0"/>
        <w:ind w:right="0" w:rightChars="0" w:firstLine="480" w:firstLineChars="200"/>
        <w:rPr>
          <w:rFonts w:cs="宋体"/>
        </w:rPr>
      </w:pPr>
      <w:r>
        <w:rPr>
          <w:rFonts w:hint="eastAsia" w:cs="宋体"/>
        </w:rPr>
        <w:t>邀请供应商的方式：通过资格审查的所有供应商。</w:t>
      </w:r>
    </w:p>
    <w:p>
      <w:pPr>
        <w:pStyle w:val="2"/>
        <w:rPr>
          <w:rFonts w:ascii="宋体" w:hAnsi="宋体" w:eastAsia="宋体" w:cs="宋体"/>
        </w:rPr>
      </w:pPr>
      <w:bookmarkStart w:id="17" w:name="_Toc192318381"/>
      <w:bookmarkStart w:id="18" w:name="_Toc192318708"/>
      <w:bookmarkStart w:id="19" w:name="_Toc193106065"/>
      <w:bookmarkStart w:id="20" w:name="_Toc192318461"/>
      <w:bookmarkStart w:id="21" w:name="_Toc193105919"/>
      <w:bookmarkStart w:id="22" w:name="_Toc193106176"/>
      <w:bookmarkStart w:id="23" w:name="_Toc28353"/>
      <w:bookmarkStart w:id="24" w:name="_Toc3775"/>
      <w:bookmarkStart w:id="25" w:name="_Toc2451"/>
      <w:r>
        <w:rPr>
          <w:rFonts w:hint="eastAsia" w:ascii="宋体" w:hAnsi="宋体" w:eastAsia="宋体" w:cs="宋体"/>
        </w:rPr>
        <w:t>四、</w:t>
      </w:r>
      <w:bookmarkEnd w:id="17"/>
      <w:bookmarkEnd w:id="18"/>
      <w:bookmarkEnd w:id="19"/>
      <w:bookmarkEnd w:id="20"/>
      <w:bookmarkEnd w:id="21"/>
      <w:bookmarkEnd w:id="22"/>
      <w:r>
        <w:rPr>
          <w:rFonts w:hint="eastAsia" w:ascii="宋体" w:hAnsi="宋体" w:eastAsia="宋体" w:cs="宋体"/>
        </w:rPr>
        <w:t>供应商及采购项目的资格条件要求</w:t>
      </w:r>
      <w:bookmarkEnd w:id="23"/>
      <w:bookmarkEnd w:id="24"/>
      <w:bookmarkEnd w:id="25"/>
    </w:p>
    <w:p>
      <w:pPr>
        <w:kinsoku w:val="0"/>
        <w:spacing w:line="360" w:lineRule="auto"/>
        <w:ind w:firstLine="480" w:firstLineChars="200"/>
        <w:rPr>
          <w:rFonts w:ascii="宋体" w:hAnsi="宋体" w:cs="宋体"/>
          <w:sz w:val="24"/>
          <w:szCs w:val="24"/>
        </w:rPr>
      </w:pPr>
      <w:r>
        <w:rPr>
          <w:rFonts w:hint="eastAsia" w:ascii="宋体" w:hAnsi="宋体" w:cs="宋体"/>
          <w:sz w:val="24"/>
          <w:szCs w:val="24"/>
        </w:rPr>
        <w:t>参加磋商的供应商应具备下列条件：</w:t>
      </w:r>
    </w:p>
    <w:p>
      <w:pPr>
        <w:kinsoku w:val="0"/>
        <w:spacing w:line="360" w:lineRule="auto"/>
        <w:ind w:firstLine="480" w:firstLineChars="200"/>
        <w:rPr>
          <w:rFonts w:ascii="宋体" w:hAnsi="宋体" w:cs="宋体"/>
          <w:sz w:val="24"/>
        </w:rPr>
      </w:pPr>
      <w:bookmarkStart w:id="26" w:name="_Toc4818"/>
      <w:bookmarkStart w:id="27" w:name="_Toc193106178"/>
      <w:bookmarkStart w:id="28" w:name="_Toc193106067"/>
      <w:bookmarkStart w:id="29" w:name="_Toc192318463"/>
      <w:bookmarkStart w:id="30" w:name="_Toc193105921"/>
      <w:bookmarkStart w:id="31" w:name="_Toc192318383"/>
      <w:bookmarkStart w:id="32" w:name="_Toc192318710"/>
      <w:r>
        <w:rPr>
          <w:rFonts w:hint="eastAsia" w:ascii="宋体" w:hAnsi="宋体" w:cs="宋体"/>
          <w:sz w:val="24"/>
        </w:rPr>
        <w:t>《中华人民共和国政府采购法》第二十二条第一款第1项至第5项规定的条件：</w:t>
      </w:r>
    </w:p>
    <w:p>
      <w:pPr>
        <w:kinsoku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kinsoku w:val="0"/>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kinsoku w:val="0"/>
        <w:spacing w:line="360" w:lineRule="auto"/>
        <w:ind w:firstLine="480" w:firstLineChars="200"/>
        <w:rPr>
          <w:rFonts w:ascii="宋体" w:hAnsi="宋体" w:cs="宋体"/>
          <w:sz w:val="24"/>
        </w:rPr>
      </w:pPr>
      <w:r>
        <w:rPr>
          <w:rFonts w:hint="eastAsia" w:ascii="宋体" w:hAnsi="宋体" w:cs="宋体"/>
          <w:sz w:val="24"/>
        </w:rPr>
        <w:t>3.具有履行合同所必须的设备和专业技术能力；</w:t>
      </w:r>
    </w:p>
    <w:p>
      <w:pPr>
        <w:kinsoku w:val="0"/>
        <w:spacing w:line="360" w:lineRule="auto"/>
        <w:ind w:firstLine="480" w:firstLineChars="200"/>
        <w:rPr>
          <w:rFonts w:ascii="宋体" w:hAnsi="宋体" w:cs="宋体"/>
          <w:sz w:val="24"/>
        </w:rPr>
      </w:pPr>
      <w:r>
        <w:rPr>
          <w:rFonts w:hint="eastAsia" w:ascii="宋体" w:hAnsi="宋体" w:cs="宋体"/>
          <w:sz w:val="24"/>
        </w:rPr>
        <w:t>4.具有依法缴纳税收和社会保障资金的良好记录；</w:t>
      </w:r>
    </w:p>
    <w:p>
      <w:pPr>
        <w:kinsoku w:val="0"/>
        <w:spacing w:line="360" w:lineRule="auto"/>
        <w:ind w:firstLine="480" w:firstLineChars="200"/>
        <w:rPr>
          <w:rFonts w:ascii="宋体" w:hAnsi="宋体" w:cs="宋体"/>
          <w:sz w:val="24"/>
        </w:rPr>
      </w:pPr>
      <w:r>
        <w:rPr>
          <w:rFonts w:hint="eastAsia" w:ascii="宋体" w:hAnsi="宋体" w:cs="宋体"/>
          <w:sz w:val="24"/>
        </w:rPr>
        <w:t>5.参加本次政府采购活动前三年内，在经营活动中没有重大违法记录。</w:t>
      </w:r>
    </w:p>
    <w:p>
      <w:pPr>
        <w:pStyle w:val="2"/>
        <w:rPr>
          <w:rFonts w:ascii="宋体" w:hAnsi="宋体" w:eastAsia="宋体" w:cs="宋体"/>
        </w:rPr>
      </w:pPr>
      <w:bookmarkStart w:id="33" w:name="_Toc13559"/>
      <w:bookmarkStart w:id="34" w:name="_Toc9748"/>
      <w:r>
        <w:rPr>
          <w:rFonts w:hint="eastAsia" w:ascii="宋体" w:hAnsi="宋体" w:eastAsia="宋体" w:cs="宋体"/>
        </w:rPr>
        <w:t>五、供应商应当提供的资格证明材料</w:t>
      </w:r>
      <w:bookmarkEnd w:id="26"/>
      <w:bookmarkEnd w:id="33"/>
      <w:bookmarkEnd w:id="34"/>
    </w:p>
    <w:p>
      <w:pPr>
        <w:pStyle w:val="4"/>
        <w:overflowPunct w:val="0"/>
        <w:ind w:right="0" w:rightChars="0" w:firstLine="480" w:firstLineChars="200"/>
        <w:rPr>
          <w:rFonts w:cs="宋体"/>
        </w:rPr>
      </w:pPr>
      <w:r>
        <w:rPr>
          <w:rFonts w:hint="eastAsia" w:cs="宋体"/>
        </w:rPr>
        <w:t>供应商应提供以下资格证明资料，装订成资格性响应文件：</w:t>
      </w:r>
    </w:p>
    <w:p>
      <w:pPr>
        <w:overflowPunct w:val="0"/>
        <w:spacing w:line="360" w:lineRule="auto"/>
        <w:ind w:firstLine="480" w:firstLineChars="200"/>
        <w:rPr>
          <w:rFonts w:ascii="宋体" w:hAnsi="宋体" w:cs="宋体"/>
          <w:sz w:val="24"/>
        </w:rPr>
      </w:pPr>
      <w:r>
        <w:rPr>
          <w:rFonts w:hint="eastAsia" w:ascii="宋体" w:hAnsi="宋体" w:cs="宋体"/>
          <w:sz w:val="24"/>
        </w:rPr>
        <w:t>1、供应商是企业的，</w:t>
      </w:r>
      <w:r>
        <w:rPr>
          <w:rFonts w:hint="eastAsia" w:ascii="宋体" w:hAnsi="宋体" w:cs="宋体"/>
          <w:b/>
          <w:sz w:val="24"/>
        </w:rPr>
        <w:t>提供营业执照（副本）复印件或扫描件</w:t>
      </w:r>
      <w:r>
        <w:rPr>
          <w:rFonts w:hint="eastAsia" w:ascii="宋体" w:hAnsi="宋体" w:cs="宋体"/>
          <w:sz w:val="24"/>
        </w:rPr>
        <w:t>，供应商是事业单位的，提供事业单位法人证书复印件或扫描件。（注：加盖供应商公章）</w:t>
      </w:r>
    </w:p>
    <w:p>
      <w:pPr>
        <w:overflowPunct w:val="0"/>
        <w:spacing w:line="360" w:lineRule="auto"/>
        <w:ind w:firstLine="480" w:firstLineChars="200"/>
        <w:rPr>
          <w:rFonts w:ascii="宋体" w:hAnsi="宋体" w:cs="宋体"/>
          <w:sz w:val="24"/>
        </w:rPr>
      </w:pPr>
      <w:r>
        <w:rPr>
          <w:rFonts w:hint="eastAsia" w:ascii="宋体" w:hAnsi="宋体" w:cs="宋体"/>
          <w:sz w:val="24"/>
        </w:rPr>
        <w:t>2、法定</w:t>
      </w:r>
      <w:r>
        <w:rPr>
          <w:rFonts w:hint="eastAsia" w:ascii="宋体" w:hAnsi="宋体" w:cs="宋体"/>
          <w:b/>
          <w:sz w:val="24"/>
        </w:rPr>
        <w:t>代表人身份证双面复印件或扫描件</w:t>
      </w:r>
      <w:r>
        <w:rPr>
          <w:rFonts w:hint="eastAsia" w:ascii="宋体" w:hAnsi="宋体" w:cs="宋体"/>
          <w:sz w:val="24"/>
        </w:rPr>
        <w:t>。（法定代表人或非法定代表人参加磋商时均需提供，加盖供应商公章）</w:t>
      </w:r>
    </w:p>
    <w:p>
      <w:pPr>
        <w:overflowPunct w:val="0"/>
        <w:spacing w:line="360" w:lineRule="auto"/>
        <w:ind w:firstLine="480" w:firstLineChars="200"/>
        <w:rPr>
          <w:rFonts w:ascii="宋体" w:hAnsi="宋体" w:cs="宋体"/>
          <w:sz w:val="24"/>
        </w:rPr>
      </w:pPr>
      <w:r>
        <w:rPr>
          <w:rFonts w:hint="eastAsia" w:ascii="宋体" w:hAnsi="宋体" w:cs="宋体"/>
          <w:sz w:val="24"/>
        </w:rPr>
        <w:t>3、法定</w:t>
      </w:r>
      <w:r>
        <w:rPr>
          <w:rFonts w:hint="eastAsia" w:ascii="宋体" w:hAnsi="宋体" w:cs="宋体"/>
          <w:b/>
          <w:sz w:val="24"/>
        </w:rPr>
        <w:t>代表人（负责人）授权书原件</w:t>
      </w:r>
      <w:r>
        <w:rPr>
          <w:rFonts w:hint="eastAsia" w:ascii="宋体" w:hAnsi="宋体" w:cs="宋体"/>
          <w:sz w:val="24"/>
        </w:rPr>
        <w:t>。（非法定代表人（负责人）参加磋商时提供），并附授权代表身份证双面复印件或扫描件。（注：加盖供应商公章）</w:t>
      </w:r>
    </w:p>
    <w:p>
      <w:pPr>
        <w:overflowPunct w:val="0"/>
        <w:spacing w:line="360" w:lineRule="auto"/>
        <w:ind w:firstLine="480" w:firstLineChars="200"/>
        <w:rPr>
          <w:rFonts w:ascii="宋体" w:hAnsi="宋体" w:cs="宋体"/>
          <w:sz w:val="24"/>
        </w:rPr>
      </w:pPr>
      <w:r>
        <w:rPr>
          <w:rFonts w:hint="eastAsia" w:ascii="宋体" w:hAnsi="宋体" w:cs="宋体"/>
          <w:sz w:val="24"/>
        </w:rPr>
        <w:t>4、供应商2020年任意一个月的缴纳税收的银行电子回单或者税务部门出具的纳税证明或完税证明或有效票据的复印件或扫描件；或依法缴纳税收的书面承诺函原件。（注：加盖供应商公章）</w:t>
      </w:r>
    </w:p>
    <w:p>
      <w:pPr>
        <w:overflowPunct w:val="0"/>
        <w:spacing w:line="360" w:lineRule="auto"/>
        <w:ind w:firstLine="480" w:firstLineChars="200"/>
        <w:rPr>
          <w:rFonts w:ascii="宋体" w:hAnsi="宋体" w:cs="宋体"/>
          <w:sz w:val="24"/>
        </w:rPr>
      </w:pPr>
      <w:r>
        <w:rPr>
          <w:rFonts w:hint="eastAsia" w:ascii="宋体" w:hAnsi="宋体" w:cs="宋体"/>
          <w:sz w:val="24"/>
        </w:rPr>
        <w:t>5、供应商2020年任意一个月的缴纳社保的银行电子回单或社保部门出具缴纳证明材料或有效票据的复印件或扫描件；或依法缴纳社会保障资金的书面承诺函原件。（注：加盖供应商公章）</w:t>
      </w:r>
    </w:p>
    <w:p>
      <w:pPr>
        <w:overflowPunct w:val="0"/>
        <w:spacing w:line="360" w:lineRule="auto"/>
        <w:ind w:firstLine="480" w:firstLineChars="200"/>
        <w:rPr>
          <w:rFonts w:ascii="宋体" w:hAnsi="宋体" w:cs="宋体"/>
          <w:sz w:val="24"/>
          <w:szCs w:val="22"/>
        </w:rPr>
      </w:pPr>
      <w:r>
        <w:rPr>
          <w:rFonts w:hint="eastAsia" w:ascii="宋体" w:hAnsi="宋体" w:cs="宋体"/>
          <w:sz w:val="24"/>
        </w:rPr>
        <w:t>6、具备健全的财务会计制度的证明材料[企业提供任近三年来（2017-2019）任意一年年度经审计的财务报告（包含审计报告和审计报告中所涉及的财务报表和报表附注，不需要额外提供签署审计报告的注册会计师身份证明、主任会计师身份证明、合伙人身份证明）；也可提供2019年度供应商内部的财务报表（至少包含资产负债表）；事业单位提供银行出具的资信证明；供应商成立时间不足一年的，提供银行资信证明]</w:t>
      </w:r>
      <w:r>
        <w:rPr>
          <w:rFonts w:hint="eastAsia" w:ascii="宋体" w:hAnsi="宋体" w:cs="宋体"/>
          <w:sz w:val="24"/>
          <w:szCs w:val="22"/>
        </w:rPr>
        <w:t>；或提供具备健全的财务会计制度的承诺函。（注：原件、复印件或扫描件加盖供应商公章）</w:t>
      </w:r>
    </w:p>
    <w:p>
      <w:pPr>
        <w:overflowPunct w:val="0"/>
        <w:spacing w:line="360" w:lineRule="auto"/>
        <w:ind w:firstLine="480" w:firstLineChars="200"/>
        <w:rPr>
          <w:rFonts w:ascii="宋体" w:hAnsi="宋体" w:cs="宋体"/>
          <w:sz w:val="24"/>
        </w:rPr>
      </w:pPr>
      <w:r>
        <w:rPr>
          <w:rFonts w:hint="eastAsia" w:ascii="宋体" w:hAnsi="宋体" w:cs="宋体"/>
          <w:sz w:val="24"/>
          <w:szCs w:val="22"/>
        </w:rPr>
        <w:t>7、满足《政府采购法》第二十二条规定的条件的承诺函原件(见第八章格式，加</w:t>
      </w:r>
      <w:r>
        <w:rPr>
          <w:rFonts w:hint="eastAsia" w:ascii="宋体" w:hAnsi="宋体" w:cs="宋体"/>
          <w:sz w:val="24"/>
        </w:rPr>
        <w:t>盖供应商公章)。</w:t>
      </w:r>
    </w:p>
    <w:p>
      <w:pPr>
        <w:overflowPunct w:val="0"/>
        <w:spacing w:line="360" w:lineRule="auto"/>
        <w:ind w:firstLine="480" w:firstLineChars="200"/>
        <w:rPr>
          <w:rFonts w:ascii="宋体" w:hAnsi="宋体" w:cs="宋体"/>
          <w:sz w:val="24"/>
          <w:szCs w:val="22"/>
        </w:rPr>
      </w:pPr>
      <w:r>
        <w:rPr>
          <w:rFonts w:hint="eastAsia" w:ascii="宋体" w:hAnsi="宋体" w:cs="宋体"/>
          <w:sz w:val="24"/>
          <w:szCs w:val="22"/>
        </w:rPr>
        <w:t>8、投标人及法定代表人在参加本次政府采购活动前三年内不具有行贿犯罪记录承诺函。</w:t>
      </w:r>
    </w:p>
    <w:p>
      <w:pPr>
        <w:pStyle w:val="4"/>
        <w:overflowPunct w:val="0"/>
        <w:ind w:right="0" w:rightChars="0" w:firstLine="480" w:firstLineChars="200"/>
        <w:rPr>
          <w:rFonts w:cs="宋体"/>
        </w:rPr>
      </w:pPr>
      <w:r>
        <w:rPr>
          <w:rFonts w:hint="eastAsia" w:cs="宋体"/>
        </w:rPr>
        <w:t>以上资料各提供一份并加盖单位鲜章，必须装订成册。封面上注明“资格性响应文件”、供应商名称、拟参加磋商报价的项目名称。</w:t>
      </w:r>
    </w:p>
    <w:p>
      <w:pPr>
        <w:pStyle w:val="2"/>
        <w:numPr>
          <w:ilvl w:val="0"/>
          <w:numId w:val="2"/>
        </w:numPr>
        <w:rPr>
          <w:rFonts w:ascii="宋体" w:hAnsi="宋体" w:eastAsia="宋体" w:cs="宋体"/>
        </w:rPr>
      </w:pPr>
      <w:bookmarkStart w:id="35" w:name="_Toc28062"/>
      <w:bookmarkStart w:id="36" w:name="_Toc4593"/>
      <w:bookmarkStart w:id="37" w:name="_Toc12218"/>
      <w:r>
        <w:rPr>
          <w:rFonts w:hint="eastAsia" w:ascii="宋体" w:hAnsi="宋体" w:eastAsia="宋体" w:cs="宋体"/>
        </w:rPr>
        <w:t>政府采购政策要求</w:t>
      </w:r>
      <w:bookmarkEnd w:id="27"/>
      <w:bookmarkEnd w:id="28"/>
      <w:bookmarkEnd w:id="29"/>
      <w:bookmarkEnd w:id="30"/>
      <w:bookmarkEnd w:id="31"/>
      <w:bookmarkEnd w:id="32"/>
      <w:bookmarkEnd w:id="35"/>
      <w:bookmarkEnd w:id="36"/>
      <w:bookmarkEnd w:id="37"/>
    </w:p>
    <w:p>
      <w:pPr>
        <w:pStyle w:val="4"/>
        <w:ind w:firstLine="480" w:firstLineChars="200"/>
        <w:rPr>
          <w:rFonts w:cs="宋体"/>
        </w:rPr>
      </w:pPr>
      <w:r>
        <w:rPr>
          <w:rFonts w:hint="eastAsia" w:cs="宋体"/>
        </w:rPr>
        <w:t>1. 根据《政府采购促进中小企业发展暂行办法》（财库[2011]181号）的规定，对小型和微型企业产品的价格给予6%的价格扣除，用扣除后的价格参与评审。</w:t>
      </w:r>
    </w:p>
    <w:p>
      <w:pPr>
        <w:pStyle w:val="4"/>
        <w:ind w:firstLine="480" w:firstLineChars="200"/>
        <w:rPr>
          <w:rFonts w:cs="宋体"/>
        </w:rPr>
      </w:pPr>
      <w:r>
        <w:rPr>
          <w:rFonts w:hint="eastAsia" w:cs="宋体"/>
        </w:rPr>
        <w:t>2.参加政府采购活动的中小企业应当提供《中小企业声明函》原件。</w:t>
      </w:r>
    </w:p>
    <w:p>
      <w:pPr>
        <w:pStyle w:val="4"/>
        <w:ind w:firstLine="480" w:firstLineChars="200"/>
        <w:rPr>
          <w:rFonts w:cs="宋体"/>
        </w:rPr>
      </w:pPr>
      <w:r>
        <w:rPr>
          <w:rFonts w:hint="eastAsia" w:cs="宋体"/>
        </w:rPr>
        <w:t>3. 监狱企业视同小微企业。</w:t>
      </w:r>
    </w:p>
    <w:p>
      <w:pPr>
        <w:pStyle w:val="4"/>
        <w:ind w:firstLine="480" w:firstLineChars="200"/>
        <w:rPr>
          <w:rFonts w:cs="宋体"/>
        </w:rPr>
      </w:pPr>
      <w:r>
        <w:rPr>
          <w:rFonts w:hint="eastAsia" w:cs="宋体"/>
        </w:rPr>
        <w:t>4. 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cs="宋体"/>
        </w:rPr>
        <w:t>联合发布关于促进残疾人就业政府采购政策的通知</w:t>
      </w:r>
      <w:r>
        <w:rPr>
          <w:rFonts w:hint="eastAsia" w:cs="宋体"/>
        </w:rPr>
        <w:fldChar w:fldCharType="end"/>
      </w:r>
      <w:r>
        <w:rPr>
          <w:rFonts w:hint="eastAsia" w:cs="宋体"/>
        </w:rPr>
        <w:t>》（财库[2017]141号）的规定，对残疾人福利性单位的价格给予6%的价格扣除，用扣除后的价格参与评审。残疾人福利性单位属于小型、微型企业的，不重复享受政策。</w:t>
      </w:r>
    </w:p>
    <w:p>
      <w:pPr>
        <w:pStyle w:val="2"/>
        <w:rPr>
          <w:rFonts w:asciiTheme="minorEastAsia" w:hAnsiTheme="minorEastAsia" w:eastAsiaTheme="minorEastAsia"/>
        </w:rPr>
      </w:pPr>
      <w:bookmarkStart w:id="38" w:name="_Toc19967"/>
      <w:bookmarkStart w:id="39" w:name="_Toc29808"/>
      <w:bookmarkStart w:id="40" w:name="_Toc26806599"/>
      <w:bookmarkStart w:id="41" w:name="_Toc23703"/>
      <w:bookmarkStart w:id="42" w:name="_Toc31123"/>
      <w:bookmarkStart w:id="43" w:name="_Toc192318711"/>
      <w:bookmarkStart w:id="44" w:name="_Toc193106179"/>
      <w:bookmarkStart w:id="45" w:name="_Toc192318384"/>
      <w:bookmarkStart w:id="46" w:name="_Toc193106068"/>
      <w:bookmarkStart w:id="47" w:name="_Toc192318464"/>
      <w:bookmarkStart w:id="48" w:name="_Toc193105922"/>
      <w:r>
        <w:rPr>
          <w:rFonts w:asciiTheme="minorEastAsia" w:hAnsiTheme="minorEastAsia" w:eastAsiaTheme="minorEastAsia"/>
        </w:rPr>
        <w:t>七、体现满足采购需求、质量和服务相等的采购项目实质性要求</w:t>
      </w:r>
      <w:bookmarkEnd w:id="38"/>
      <w:bookmarkEnd w:id="39"/>
      <w:bookmarkEnd w:id="40"/>
    </w:p>
    <w:p>
      <w:pPr>
        <w:spacing w:line="360" w:lineRule="auto"/>
        <w:ind w:left="2" w:firstLine="537" w:firstLineChars="224"/>
        <w:rPr>
          <w:rFonts w:ascii="宋体" w:hAnsi="宋体" w:cs="宋体"/>
          <w:sz w:val="24"/>
          <w:szCs w:val="24"/>
        </w:rPr>
      </w:pPr>
      <w:bookmarkStart w:id="49" w:name="_Toc26806600"/>
      <w:r>
        <w:rPr>
          <w:rFonts w:hint="eastAsia" w:ascii="宋体" w:hAnsi="宋体" w:cs="宋体"/>
          <w:sz w:val="24"/>
          <w:szCs w:val="24"/>
        </w:rPr>
        <w:t>1.项目基本要求</w:t>
      </w:r>
      <w:bookmarkEnd w:id="49"/>
    </w:p>
    <w:p>
      <w:pPr>
        <w:overflowPunct w:val="0"/>
        <w:spacing w:line="540" w:lineRule="exact"/>
        <w:ind w:firstLine="480" w:firstLineChars="200"/>
        <w:rPr>
          <w:rFonts w:ascii="宋体" w:hAnsi="宋体" w:cs="宋体"/>
          <w:sz w:val="24"/>
          <w:szCs w:val="24"/>
        </w:rPr>
      </w:pPr>
      <w:r>
        <w:rPr>
          <w:rFonts w:hint="eastAsia" w:ascii="宋体" w:hAnsi="宋体" w:cs="宋体"/>
          <w:sz w:val="24"/>
          <w:szCs w:val="24"/>
        </w:rPr>
        <w:t>（1）制作内容</w:t>
      </w:r>
    </w:p>
    <w:p>
      <w:pPr>
        <w:overflowPunct w:val="0"/>
        <w:spacing w:line="540" w:lineRule="exact"/>
        <w:ind w:firstLine="480" w:firstLineChars="200"/>
        <w:rPr>
          <w:rFonts w:ascii="宋体" w:hAnsi="宋体" w:cs="宋体"/>
          <w:sz w:val="24"/>
          <w:szCs w:val="22"/>
        </w:rPr>
      </w:pPr>
      <w:r>
        <w:rPr>
          <w:rFonts w:ascii="宋体" w:hAnsi="宋体" w:cs="宋体"/>
          <w:sz w:val="24"/>
          <w:szCs w:val="24"/>
        </w:rPr>
        <w:t>为确保宣传对象涵盖政府企事业单位、社区街道乡镇、普通公众，最大化实现覆盖范围广、宣传形式多、宣传力度大的效果，结合四川实际，制作包含多个视频的宣传片集。宣传片集涵盖一部综述公益宣传片、一部社区公益宣传片，两部新媒体宣传片，</w:t>
      </w:r>
      <w:r>
        <w:rPr>
          <w:rFonts w:ascii="宋体" w:hAnsi="宋体" w:cs="宋体"/>
          <w:sz w:val="24"/>
          <w:szCs w:val="22"/>
        </w:rPr>
        <w:t>共4个视频。</w:t>
      </w:r>
    </w:p>
    <w:p>
      <w:pPr>
        <w:spacing w:line="360" w:lineRule="auto"/>
        <w:ind w:firstLine="540" w:firstLineChars="225"/>
        <w:rPr>
          <w:rFonts w:ascii="宋体" w:hAnsi="宋体" w:cs="宋体"/>
          <w:sz w:val="24"/>
          <w:szCs w:val="22"/>
        </w:rPr>
      </w:pPr>
      <w:r>
        <w:rPr>
          <w:rFonts w:ascii="宋体" w:hAnsi="宋体" w:cs="宋体"/>
          <w:sz w:val="24"/>
          <w:szCs w:val="22"/>
        </w:rPr>
        <w:fldChar w:fldCharType="begin"/>
      </w:r>
      <w:r>
        <w:rPr>
          <w:rFonts w:hint="eastAsia" w:ascii="宋体" w:hAnsi="宋体" w:cs="宋体"/>
          <w:sz w:val="24"/>
          <w:szCs w:val="22"/>
        </w:rPr>
        <w:instrText xml:space="preserve">eq \o\ac(○,1)</w:instrText>
      </w:r>
      <w:r>
        <w:rPr>
          <w:rFonts w:ascii="宋体" w:hAnsi="宋体" w:cs="宋体"/>
          <w:sz w:val="24"/>
          <w:szCs w:val="22"/>
        </w:rPr>
        <w:fldChar w:fldCharType="end"/>
      </w:r>
      <w:r>
        <w:rPr>
          <w:rFonts w:hint="eastAsia" w:ascii="宋体" w:hAnsi="宋体" w:cs="宋体"/>
          <w:sz w:val="24"/>
          <w:szCs w:val="22"/>
        </w:rPr>
        <w:t>综述公益宣传片一部</w:t>
      </w:r>
    </w:p>
    <w:p>
      <w:pPr>
        <w:spacing w:line="360" w:lineRule="auto"/>
        <w:ind w:firstLine="540" w:firstLineChars="225"/>
        <w:rPr>
          <w:rFonts w:ascii="宋体" w:hAnsi="宋体" w:cs="宋体"/>
          <w:sz w:val="24"/>
          <w:szCs w:val="22"/>
        </w:rPr>
      </w:pPr>
      <w:r>
        <w:rPr>
          <w:rFonts w:hint="eastAsia" w:ascii="宋体" w:hAnsi="宋体" w:cs="宋体"/>
          <w:sz w:val="24"/>
          <w:szCs w:val="22"/>
        </w:rPr>
        <w:t>具体要求：采用3840*2160分辨率制作专题片，约4分钟。</w:t>
      </w:r>
      <w:r>
        <w:rPr>
          <w:rFonts w:ascii="宋体" w:hAnsi="宋体" w:cs="宋体"/>
          <w:sz w:val="24"/>
          <w:szCs w:val="22"/>
        </w:rPr>
        <w:t>以实拍场景、特效动画、数据展示等画面，配以精炼旁白，概述我国自然灾害基本国情、风险普查的意义、会议文件精神、普查工作流程等内容。加强各级政府和部门对风险普查工作的重视、提高相关行业部门对普查工作的参与度和积极性。</w:t>
      </w:r>
      <w:r>
        <w:rPr>
          <w:rFonts w:hint="eastAsia" w:ascii="宋体" w:hAnsi="宋体" w:cs="宋体"/>
          <w:sz w:val="24"/>
          <w:szCs w:val="22"/>
        </w:rPr>
        <w:t>自行提供文案、配音、字幕等。</w:t>
      </w:r>
    </w:p>
    <w:p>
      <w:pPr>
        <w:spacing w:line="360" w:lineRule="auto"/>
        <w:ind w:firstLine="540" w:firstLineChars="225"/>
        <w:rPr>
          <w:rFonts w:ascii="宋体" w:hAnsi="宋体" w:cs="宋体"/>
          <w:sz w:val="24"/>
          <w:szCs w:val="22"/>
        </w:rPr>
      </w:pPr>
      <w:r>
        <w:rPr>
          <w:rFonts w:ascii="宋体" w:hAnsi="宋体" w:cs="宋体"/>
          <w:sz w:val="24"/>
          <w:szCs w:val="22"/>
        </w:rPr>
        <w:fldChar w:fldCharType="begin"/>
      </w:r>
      <w:r>
        <w:rPr>
          <w:rFonts w:hint="eastAsia" w:ascii="宋体" w:hAnsi="宋体" w:cs="宋体"/>
          <w:sz w:val="24"/>
          <w:szCs w:val="22"/>
        </w:rPr>
        <w:instrText xml:space="preserve">eq \o\ac(○,2)</w:instrText>
      </w:r>
      <w:r>
        <w:rPr>
          <w:rFonts w:ascii="宋体" w:hAnsi="宋体" w:cs="宋体"/>
          <w:sz w:val="24"/>
          <w:szCs w:val="22"/>
        </w:rPr>
        <w:fldChar w:fldCharType="end"/>
      </w:r>
      <w:r>
        <w:rPr>
          <w:rFonts w:hint="eastAsia" w:ascii="宋体" w:hAnsi="宋体" w:cs="宋体"/>
          <w:sz w:val="24"/>
          <w:szCs w:val="22"/>
        </w:rPr>
        <w:t>社区公益宣传片一部</w:t>
      </w:r>
    </w:p>
    <w:p>
      <w:pPr>
        <w:spacing w:line="360" w:lineRule="auto"/>
        <w:ind w:firstLine="540" w:firstLineChars="225"/>
        <w:rPr>
          <w:rFonts w:ascii="宋体" w:hAnsi="宋体" w:cs="宋体"/>
          <w:sz w:val="24"/>
          <w:szCs w:val="22"/>
        </w:rPr>
      </w:pPr>
      <w:r>
        <w:rPr>
          <w:rFonts w:hint="eastAsia" w:ascii="宋体" w:hAnsi="宋体" w:cs="宋体"/>
          <w:sz w:val="24"/>
          <w:szCs w:val="22"/>
        </w:rPr>
        <w:t>具体要求：采用3840*2160分辨率制作专题片，约2分钟。</w:t>
      </w:r>
      <w:r>
        <w:rPr>
          <w:rFonts w:ascii="宋体" w:hAnsi="宋体" w:cs="宋体"/>
          <w:sz w:val="24"/>
          <w:szCs w:val="22"/>
        </w:rPr>
        <w:t>以实拍场景、特效动画、数据展示等画面，配以精炼旁白，宣传风险普查对人民生活的影响、风险普查基础知识、如何建立自然灾害风险意识、提升自救互救能力、如何配合有关部门进行灾害普查工作。增强基层普查工作人员责任感，获得被调查对象的支持，营造风险普查工作良好氛围。</w:t>
      </w:r>
    </w:p>
    <w:p>
      <w:pPr>
        <w:spacing w:line="360" w:lineRule="auto"/>
        <w:ind w:firstLine="540" w:firstLineChars="225"/>
        <w:rPr>
          <w:rFonts w:ascii="宋体" w:hAnsi="宋体" w:cs="宋体"/>
          <w:sz w:val="24"/>
          <w:szCs w:val="22"/>
        </w:rPr>
      </w:pPr>
      <w:r>
        <w:rPr>
          <w:rFonts w:ascii="宋体" w:hAnsi="宋体" w:cs="宋体"/>
          <w:sz w:val="24"/>
          <w:szCs w:val="22"/>
        </w:rPr>
        <w:fldChar w:fldCharType="begin"/>
      </w:r>
      <w:r>
        <w:rPr>
          <w:rFonts w:hint="eastAsia" w:ascii="宋体" w:hAnsi="宋体" w:cs="宋体"/>
          <w:sz w:val="24"/>
          <w:szCs w:val="22"/>
        </w:rPr>
        <w:instrText xml:space="preserve">eq \o\ac(○,3)</w:instrText>
      </w:r>
      <w:r>
        <w:rPr>
          <w:rFonts w:ascii="宋体" w:hAnsi="宋体" w:cs="宋体"/>
          <w:sz w:val="24"/>
          <w:szCs w:val="22"/>
        </w:rPr>
        <w:fldChar w:fldCharType="end"/>
      </w:r>
      <w:r>
        <w:rPr>
          <w:rFonts w:hint="eastAsia" w:ascii="宋体" w:hAnsi="宋体" w:cs="宋体"/>
          <w:sz w:val="24"/>
          <w:szCs w:val="22"/>
        </w:rPr>
        <w:t>新媒体公益宣传片两部</w:t>
      </w:r>
    </w:p>
    <w:p>
      <w:pPr>
        <w:spacing w:line="360" w:lineRule="auto"/>
        <w:ind w:firstLine="480" w:firstLineChars="200"/>
        <w:rPr>
          <w:rFonts w:ascii="宋体" w:hAnsi="宋体" w:cs="宋体"/>
          <w:sz w:val="24"/>
          <w:szCs w:val="22"/>
        </w:rPr>
      </w:pPr>
      <w:r>
        <w:rPr>
          <w:rFonts w:hint="eastAsia" w:ascii="宋体" w:hAnsi="宋体" w:cs="宋体"/>
          <w:sz w:val="24"/>
          <w:szCs w:val="22"/>
        </w:rPr>
        <w:t>具体要求：采用1920*1080分辨率制作专题片，每部约1分钟，</w:t>
      </w:r>
      <w:r>
        <w:rPr>
          <w:rFonts w:ascii="宋体" w:hAnsi="宋体" w:cs="宋体"/>
          <w:sz w:val="24"/>
          <w:szCs w:val="22"/>
        </w:rPr>
        <w:t>以MG动画短片形式，简要介绍普查工作的来历、意义、目的和方式等</w:t>
      </w:r>
      <w:r>
        <w:rPr>
          <w:rFonts w:hint="eastAsia" w:ascii="宋体" w:hAnsi="宋体" w:cs="宋体"/>
          <w:sz w:val="24"/>
          <w:szCs w:val="22"/>
        </w:rPr>
        <w:t>，</w:t>
      </w:r>
      <w:r>
        <w:rPr>
          <w:rFonts w:ascii="宋体" w:hAnsi="宋体" w:cs="宋体"/>
          <w:sz w:val="24"/>
          <w:szCs w:val="22"/>
        </w:rPr>
        <w:t>增强广大人民群众对风险普查工作的了解，获得被调查对象的支持，营造风险普查工作良好氛围。</w:t>
      </w:r>
    </w:p>
    <w:p>
      <w:pPr>
        <w:spacing w:line="360" w:lineRule="auto"/>
        <w:ind w:firstLine="480" w:firstLineChars="200"/>
        <w:rPr>
          <w:rFonts w:ascii="宋体" w:hAnsi="宋体" w:cs="宋体"/>
          <w:sz w:val="24"/>
          <w:szCs w:val="22"/>
        </w:rPr>
      </w:pPr>
      <w:r>
        <w:rPr>
          <w:rFonts w:hint="eastAsia" w:ascii="宋体" w:hAnsi="宋体" w:cs="宋体"/>
          <w:sz w:val="24"/>
          <w:szCs w:val="22"/>
        </w:rPr>
        <w:t>（2）保密要求：公益宣传片制作涉及的所有文字稿件、音视频资料全部实行管理、专人保管。制作团队对编辑、摄制、合成等每个操作环节均需承担保密责任。</w:t>
      </w:r>
    </w:p>
    <w:p>
      <w:pPr>
        <w:spacing w:line="360" w:lineRule="auto"/>
        <w:ind w:left="2" w:firstLine="537" w:firstLineChars="224"/>
        <w:rPr>
          <w:rFonts w:ascii="宋体" w:hAnsi="宋体" w:cs="宋体"/>
          <w:sz w:val="24"/>
          <w:szCs w:val="22"/>
        </w:rPr>
      </w:pPr>
      <w:bookmarkStart w:id="50" w:name="_Toc26806601"/>
      <w:r>
        <w:rPr>
          <w:rFonts w:hint="eastAsia" w:ascii="宋体" w:hAnsi="宋体" w:cs="宋体"/>
          <w:sz w:val="24"/>
          <w:szCs w:val="22"/>
        </w:rPr>
        <w:t>2.项目期限要求</w:t>
      </w:r>
      <w:bookmarkEnd w:id="50"/>
    </w:p>
    <w:p>
      <w:pPr>
        <w:spacing w:line="360" w:lineRule="auto"/>
        <w:ind w:firstLine="540" w:firstLineChars="225"/>
        <w:rPr>
          <w:rFonts w:ascii="宋体" w:hAnsi="宋体" w:cs="宋体"/>
          <w:sz w:val="24"/>
          <w:szCs w:val="22"/>
        </w:rPr>
      </w:pPr>
      <w:r>
        <w:rPr>
          <w:rFonts w:hint="eastAsia" w:ascii="宋体" w:hAnsi="宋体" w:cs="宋体"/>
          <w:sz w:val="24"/>
          <w:szCs w:val="22"/>
        </w:rPr>
        <w:t>（1）自合同签订之日起四十日。</w:t>
      </w:r>
    </w:p>
    <w:p>
      <w:pPr>
        <w:spacing w:line="360" w:lineRule="auto"/>
        <w:ind w:firstLine="540" w:firstLineChars="225"/>
        <w:jc w:val="left"/>
        <w:rPr>
          <w:rFonts w:ascii="宋体" w:hAnsi="宋体" w:cs="宋体"/>
          <w:sz w:val="24"/>
          <w:szCs w:val="22"/>
        </w:rPr>
      </w:pPr>
      <w:r>
        <w:rPr>
          <w:rFonts w:hint="eastAsia" w:ascii="宋体" w:hAnsi="宋体" w:cs="宋体"/>
          <w:sz w:val="24"/>
          <w:szCs w:val="22"/>
        </w:rPr>
        <w:t>（2）本项目通过竞争性磋商的方式确定服务供应商，完成</w:t>
      </w:r>
      <w:r>
        <w:rPr>
          <w:rFonts w:hint="eastAsia" w:ascii="宋体" w:hAnsi="宋体" w:cs="宋体"/>
          <w:sz w:val="24"/>
          <w:szCs w:val="24"/>
        </w:rPr>
        <w:t>自然灾害综合风险普查公益宣传视频集</w:t>
      </w:r>
      <w:r>
        <w:rPr>
          <w:rFonts w:hint="eastAsia" w:ascii="宋体" w:hAnsi="宋体" w:cs="宋体"/>
          <w:sz w:val="24"/>
          <w:szCs w:val="22"/>
        </w:rPr>
        <w:t>制作项目。</w:t>
      </w:r>
    </w:p>
    <w:bookmarkEnd w:id="41"/>
    <w:bookmarkEnd w:id="42"/>
    <w:p>
      <w:pPr>
        <w:pStyle w:val="2"/>
        <w:rPr>
          <w:rFonts w:ascii="宋体" w:hAnsi="宋体" w:eastAsia="宋体" w:cs="宋体"/>
        </w:rPr>
      </w:pPr>
      <w:bookmarkStart w:id="51" w:name="_Toc19557"/>
      <w:bookmarkStart w:id="52" w:name="_Toc17352"/>
      <w:bookmarkStart w:id="53" w:name="_Toc28608"/>
      <w:r>
        <w:rPr>
          <w:rFonts w:hint="eastAsia" w:ascii="宋体" w:hAnsi="宋体" w:eastAsia="宋体" w:cs="宋体"/>
        </w:rPr>
        <w:t>八、采购项目报价要求</w:t>
      </w:r>
      <w:bookmarkEnd w:id="51"/>
      <w:bookmarkEnd w:id="52"/>
      <w:bookmarkEnd w:id="53"/>
    </w:p>
    <w:p>
      <w:pPr>
        <w:spacing w:line="360" w:lineRule="auto"/>
        <w:ind w:firstLine="480" w:firstLineChars="200"/>
        <w:rPr>
          <w:rFonts w:ascii="宋体" w:hAnsi="宋体" w:cs="宋体"/>
          <w:color w:val="000000"/>
          <w:sz w:val="24"/>
          <w:szCs w:val="24"/>
        </w:rPr>
      </w:pPr>
      <w:bookmarkStart w:id="54" w:name="_Toc1654"/>
      <w:r>
        <w:rPr>
          <w:rFonts w:hint="eastAsia" w:ascii="宋体" w:hAnsi="宋体" w:cs="宋体"/>
          <w:color w:val="000000"/>
          <w:sz w:val="24"/>
          <w:szCs w:val="24"/>
        </w:rPr>
        <w:t>供应商的报价均用人民币表示,所报价格是交货地的验收价格，其总价即为履行合同的固定价格。运输、安装、调试、检验、培训、税金和保险等费用均应包含在报价中。</w:t>
      </w:r>
      <w:bookmarkEnd w:id="54"/>
    </w:p>
    <w:p>
      <w:pPr>
        <w:pStyle w:val="2"/>
        <w:rPr>
          <w:rFonts w:ascii="宋体" w:hAnsi="宋体" w:eastAsia="宋体" w:cs="宋体"/>
        </w:rPr>
      </w:pPr>
      <w:bookmarkStart w:id="55" w:name="_Toc540"/>
      <w:bookmarkStart w:id="56" w:name="_Toc21644"/>
      <w:bookmarkStart w:id="57" w:name="_Toc10282"/>
      <w:r>
        <w:rPr>
          <w:rFonts w:hint="eastAsia" w:ascii="宋体" w:hAnsi="宋体" w:eastAsia="宋体" w:cs="宋体"/>
        </w:rPr>
        <w:t>九、</w:t>
      </w:r>
      <w:bookmarkEnd w:id="43"/>
      <w:bookmarkEnd w:id="44"/>
      <w:bookmarkEnd w:id="45"/>
      <w:bookmarkEnd w:id="46"/>
      <w:bookmarkEnd w:id="47"/>
      <w:bookmarkEnd w:id="48"/>
      <w:r>
        <w:rPr>
          <w:rFonts w:hint="eastAsia" w:ascii="宋体" w:hAnsi="宋体" w:eastAsia="宋体" w:cs="宋体"/>
        </w:rPr>
        <w:t>供应商响应文件编制要求</w:t>
      </w:r>
      <w:bookmarkEnd w:id="55"/>
      <w:bookmarkEnd w:id="56"/>
      <w:bookmarkEnd w:id="57"/>
    </w:p>
    <w:p>
      <w:pPr>
        <w:spacing w:line="360" w:lineRule="auto"/>
        <w:ind w:firstLine="555"/>
        <w:rPr>
          <w:rFonts w:ascii="宋体" w:hAnsi="宋体" w:cs="宋体"/>
          <w:sz w:val="24"/>
          <w:szCs w:val="24"/>
        </w:rPr>
      </w:pPr>
      <w:r>
        <w:rPr>
          <w:rFonts w:hint="eastAsia" w:ascii="宋体" w:hAnsi="宋体" w:cs="宋体"/>
          <w:sz w:val="24"/>
          <w:szCs w:val="24"/>
        </w:rPr>
        <w:t>响应文件分为资格性响应文件和其他响应文件两部分，分册装订。资格性响应文件内容见第五项“供应商应当提供的资格证明材料”，其他响应文件包括以下内容：</w:t>
      </w:r>
    </w:p>
    <w:p>
      <w:pPr>
        <w:spacing w:line="360" w:lineRule="auto"/>
        <w:ind w:left="2" w:firstLine="537" w:firstLineChars="224"/>
        <w:rPr>
          <w:rFonts w:ascii="宋体" w:hAnsi="宋体" w:cs="宋体"/>
          <w:sz w:val="24"/>
          <w:szCs w:val="24"/>
        </w:rPr>
      </w:pPr>
      <w:r>
        <w:rPr>
          <w:rFonts w:hint="eastAsia" w:ascii="宋体" w:hAnsi="宋体" w:cs="宋体"/>
          <w:sz w:val="24"/>
          <w:szCs w:val="24"/>
        </w:rPr>
        <w:t>1. 供应商简介。</w:t>
      </w:r>
    </w:p>
    <w:p>
      <w:pPr>
        <w:spacing w:line="360" w:lineRule="auto"/>
        <w:ind w:firstLine="540" w:firstLineChars="225"/>
        <w:rPr>
          <w:rFonts w:ascii="宋体" w:hAnsi="宋体" w:cs="宋体"/>
          <w:sz w:val="24"/>
          <w:szCs w:val="24"/>
        </w:rPr>
      </w:pPr>
      <w:r>
        <w:rPr>
          <w:rFonts w:hint="eastAsia" w:ascii="宋体" w:hAnsi="宋体" w:cs="宋体"/>
          <w:sz w:val="24"/>
          <w:szCs w:val="24"/>
        </w:rPr>
        <w:t>2. 有关证明文件。</w:t>
      </w:r>
    </w:p>
    <w:p>
      <w:pPr>
        <w:spacing w:line="360" w:lineRule="auto"/>
        <w:ind w:firstLine="540"/>
        <w:rPr>
          <w:rFonts w:ascii="宋体" w:hAnsi="宋体" w:cs="宋体"/>
          <w:sz w:val="24"/>
          <w:szCs w:val="24"/>
        </w:rPr>
      </w:pPr>
      <w:r>
        <w:rPr>
          <w:rFonts w:hint="eastAsia" w:ascii="宋体" w:hAnsi="宋体" w:cs="宋体"/>
          <w:sz w:val="24"/>
          <w:szCs w:val="24"/>
        </w:rPr>
        <w:t>2.1磋商函原件。</w:t>
      </w:r>
    </w:p>
    <w:p>
      <w:pPr>
        <w:spacing w:line="360" w:lineRule="auto"/>
        <w:ind w:left="1" w:firstLine="537" w:firstLineChars="224"/>
        <w:rPr>
          <w:rFonts w:ascii="宋体" w:hAnsi="宋体" w:cs="宋体"/>
          <w:sz w:val="24"/>
          <w:szCs w:val="24"/>
        </w:rPr>
      </w:pPr>
      <w:r>
        <w:rPr>
          <w:rFonts w:hint="eastAsia" w:ascii="宋体" w:hAnsi="宋体" w:cs="宋体"/>
          <w:sz w:val="24"/>
          <w:szCs w:val="24"/>
        </w:rPr>
        <w:t>3.报价表（以人民币形式报价，格式见附件）。</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 证明供应商提供的货物和服务是合格的，且符合磋商文件规定的证明文件，包括但不限于下列内容。</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4.1 项目实施方案。</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4.2人员保障措施。</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4.3按照磋商文件“附件”格式要求提供的其他价格、技术和商务响应文件。</w:t>
      </w:r>
    </w:p>
    <w:p>
      <w:pPr>
        <w:spacing w:line="360" w:lineRule="auto"/>
        <w:ind w:left="-105" w:leftChars="-50" w:firstLine="643" w:firstLineChars="268"/>
        <w:rPr>
          <w:rFonts w:ascii="宋体" w:hAnsi="宋体" w:cs="宋体"/>
          <w:sz w:val="24"/>
          <w:szCs w:val="24"/>
        </w:rPr>
      </w:pPr>
      <w:r>
        <w:rPr>
          <w:rFonts w:hint="eastAsia" w:ascii="宋体" w:hAnsi="宋体" w:cs="宋体"/>
          <w:sz w:val="24"/>
          <w:szCs w:val="24"/>
        </w:rPr>
        <w:t>5. 评分办法中需要的相关证明材料。</w:t>
      </w:r>
    </w:p>
    <w:p>
      <w:pPr>
        <w:pStyle w:val="5"/>
        <w:spacing w:line="360" w:lineRule="auto"/>
        <w:ind w:firstLine="540"/>
        <w:rPr>
          <w:rFonts w:ascii="宋体" w:hAnsi="宋体" w:cs="宋体"/>
          <w:sz w:val="24"/>
          <w:szCs w:val="24"/>
        </w:rPr>
      </w:pPr>
      <w:r>
        <w:rPr>
          <w:rFonts w:hint="eastAsia" w:ascii="宋体" w:hAnsi="宋体" w:cs="宋体"/>
          <w:sz w:val="24"/>
          <w:szCs w:val="24"/>
        </w:rPr>
        <w:t>以上要求资料应据实提供，不得虚假响应，如磋商文件中提供了统一格式，应按格式要求准备文件。</w:t>
      </w:r>
      <w:bookmarkStart w:id="58" w:name="_Toc192318465"/>
      <w:bookmarkStart w:id="59" w:name="_Toc192318385"/>
      <w:bookmarkStart w:id="60" w:name="_Toc193106180"/>
      <w:bookmarkStart w:id="61" w:name="_Toc193106069"/>
      <w:bookmarkStart w:id="62" w:name="_Toc193105923"/>
      <w:bookmarkStart w:id="63" w:name="_Toc192318712"/>
      <w:bookmarkStart w:id="64" w:name="_Toc32459"/>
    </w:p>
    <w:p>
      <w:pPr>
        <w:pStyle w:val="2"/>
        <w:rPr>
          <w:rFonts w:ascii="宋体" w:hAnsi="宋体" w:eastAsia="宋体" w:cs="宋体"/>
        </w:rPr>
      </w:pPr>
      <w:bookmarkStart w:id="65" w:name="_Toc19508"/>
      <w:bookmarkStart w:id="66" w:name="_Toc11212"/>
      <w:r>
        <w:rPr>
          <w:rFonts w:hint="eastAsia" w:ascii="宋体" w:hAnsi="宋体" w:eastAsia="宋体" w:cs="宋体"/>
        </w:rPr>
        <w:t>十、评审程序</w:t>
      </w:r>
      <w:bookmarkEnd w:id="58"/>
      <w:bookmarkEnd w:id="59"/>
      <w:bookmarkEnd w:id="60"/>
      <w:bookmarkEnd w:id="61"/>
      <w:bookmarkEnd w:id="62"/>
      <w:bookmarkEnd w:id="63"/>
      <w:r>
        <w:rPr>
          <w:rFonts w:hint="eastAsia" w:ascii="宋体" w:hAnsi="宋体" w:eastAsia="宋体" w:cs="宋体"/>
        </w:rPr>
        <w:t>、方法和标准</w:t>
      </w:r>
      <w:bookmarkEnd w:id="64"/>
      <w:bookmarkEnd w:id="65"/>
      <w:bookmarkEnd w:id="66"/>
    </w:p>
    <w:p>
      <w:pPr>
        <w:tabs>
          <w:tab w:val="left" w:pos="540"/>
        </w:tabs>
        <w:spacing w:line="360" w:lineRule="auto"/>
        <w:ind w:firstLine="480" w:firstLineChars="200"/>
        <w:jc w:val="left"/>
        <w:rPr>
          <w:rFonts w:ascii="宋体" w:hAnsi="宋体" w:cs="宋体"/>
          <w:b/>
          <w:sz w:val="24"/>
          <w:szCs w:val="24"/>
        </w:rPr>
      </w:pPr>
      <w:r>
        <w:rPr>
          <w:rFonts w:hint="eastAsia" w:ascii="宋体" w:hAnsi="宋体" w:cs="宋体"/>
          <w:sz w:val="24"/>
          <w:szCs w:val="24"/>
        </w:rPr>
        <w:t>竞争性磋商小组在评审过程中，应当按照《政府采购竞争性磋商采购方式管理暂行办法》（财库[2014]214号）的规定履行职责和义务，不得违法评审、违反评审工作纪律。</w:t>
      </w:r>
    </w:p>
    <w:p>
      <w:pPr>
        <w:tabs>
          <w:tab w:val="left" w:pos="540"/>
        </w:tabs>
        <w:spacing w:line="360" w:lineRule="auto"/>
        <w:ind w:left="556" w:leftChars="256" w:hanging="19" w:hangingChars="8"/>
        <w:rPr>
          <w:rFonts w:ascii="宋体" w:hAnsi="宋体" w:cs="宋体"/>
          <w:b/>
          <w:sz w:val="24"/>
          <w:szCs w:val="24"/>
        </w:rPr>
      </w:pPr>
      <w:r>
        <w:rPr>
          <w:rFonts w:hint="eastAsia" w:ascii="宋体" w:hAnsi="宋体" w:cs="宋体"/>
          <w:b/>
          <w:sz w:val="24"/>
          <w:szCs w:val="24"/>
        </w:rPr>
        <w:t>一、竞争性磋商程序</w:t>
      </w:r>
    </w:p>
    <w:p>
      <w:pPr>
        <w:spacing w:line="360" w:lineRule="auto"/>
        <w:ind w:firstLine="480" w:firstLineChars="200"/>
        <w:rPr>
          <w:rFonts w:ascii="宋体" w:hAnsi="宋体" w:cs="宋体"/>
          <w:sz w:val="24"/>
          <w:szCs w:val="24"/>
        </w:rPr>
      </w:pPr>
      <w:r>
        <w:rPr>
          <w:rFonts w:hint="eastAsia" w:ascii="宋体" w:hAnsi="宋体" w:cs="宋体"/>
          <w:sz w:val="24"/>
          <w:szCs w:val="24"/>
        </w:rPr>
        <w:t>1.供应商签到并递交响应文件。</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2.磋商小组对递交响应文件的供应商进行资格审查。</w:t>
      </w:r>
    </w:p>
    <w:p>
      <w:pPr>
        <w:spacing w:line="360" w:lineRule="auto"/>
        <w:ind w:firstLine="480" w:firstLineChars="200"/>
        <w:rPr>
          <w:rFonts w:ascii="宋体" w:hAnsi="宋体" w:cs="宋体"/>
          <w:sz w:val="24"/>
          <w:szCs w:val="24"/>
        </w:rPr>
      </w:pPr>
      <w:r>
        <w:rPr>
          <w:rFonts w:hint="eastAsia" w:ascii="宋体" w:hAnsi="宋体" w:cs="宋体"/>
          <w:sz w:val="24"/>
          <w:szCs w:val="24"/>
        </w:rPr>
        <w:t>3.当场宣布资格审查结果。</w:t>
      </w:r>
    </w:p>
    <w:p>
      <w:pPr>
        <w:spacing w:line="360" w:lineRule="auto"/>
        <w:ind w:firstLine="480" w:firstLineChars="200"/>
        <w:rPr>
          <w:rFonts w:ascii="宋体" w:hAnsi="宋体" w:cs="宋体"/>
          <w:sz w:val="24"/>
          <w:szCs w:val="24"/>
        </w:rPr>
      </w:pPr>
      <w:r>
        <w:rPr>
          <w:rFonts w:hint="eastAsia" w:ascii="宋体" w:hAnsi="宋体" w:cs="宋体"/>
          <w:sz w:val="24"/>
          <w:szCs w:val="24"/>
        </w:rPr>
        <w:t>4.供应商现场抽签排序。</w:t>
      </w:r>
    </w:p>
    <w:p>
      <w:pPr>
        <w:spacing w:line="360" w:lineRule="auto"/>
        <w:ind w:firstLine="480" w:firstLineChars="200"/>
        <w:rPr>
          <w:rFonts w:ascii="宋体" w:hAnsi="宋体" w:cs="宋体"/>
          <w:sz w:val="24"/>
          <w:szCs w:val="24"/>
        </w:rPr>
      </w:pPr>
      <w:r>
        <w:rPr>
          <w:rFonts w:hint="eastAsia" w:ascii="宋体" w:hAnsi="宋体" w:cs="宋体"/>
          <w:sz w:val="24"/>
          <w:szCs w:val="24"/>
        </w:rPr>
        <w:t>5.磋商小组按顺序分别与各供应商磋商。</w:t>
      </w:r>
    </w:p>
    <w:p>
      <w:pPr>
        <w:spacing w:line="360" w:lineRule="auto"/>
        <w:ind w:firstLine="480" w:firstLineChars="200"/>
        <w:rPr>
          <w:rFonts w:ascii="宋体" w:hAnsi="宋体" w:cs="宋体"/>
          <w:sz w:val="24"/>
          <w:szCs w:val="24"/>
        </w:rPr>
      </w:pPr>
      <w:r>
        <w:rPr>
          <w:rFonts w:hint="eastAsia" w:ascii="宋体" w:hAnsi="宋体" w:cs="宋体"/>
          <w:sz w:val="24"/>
          <w:szCs w:val="24"/>
        </w:rPr>
        <w:t>6.供应商在磋商小组规定的时间，对产品或服务等情况作简要陈述。</w:t>
      </w:r>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7.按照磋商文件规定的评审方法和标准对提交最后报价的供应商的响应文件和最后报价进行综合评分，然后根据综合评分情况，按照评审得分由高到低的顺序推荐成交候选供应商，出具评审报告。</w:t>
      </w:r>
    </w:p>
    <w:p>
      <w:pPr>
        <w:spacing w:line="360" w:lineRule="auto"/>
        <w:ind w:firstLine="480" w:firstLineChars="200"/>
        <w:rPr>
          <w:rFonts w:ascii="宋体" w:hAnsi="宋体" w:cs="宋体"/>
          <w:sz w:val="24"/>
          <w:szCs w:val="24"/>
        </w:rPr>
      </w:pPr>
      <w:r>
        <w:rPr>
          <w:rFonts w:hint="eastAsia" w:ascii="宋体" w:hAnsi="宋体" w:cs="宋体"/>
          <w:bCs/>
          <w:sz w:val="24"/>
          <w:szCs w:val="24"/>
        </w:rPr>
        <w:t>8</w:t>
      </w:r>
      <w:r>
        <w:rPr>
          <w:rFonts w:hint="eastAsia" w:ascii="宋体" w:hAnsi="宋体" w:cs="宋体"/>
          <w:sz w:val="24"/>
          <w:szCs w:val="24"/>
        </w:rPr>
        <w:t>.确定成交供应商的原则为：磋商小组推荐成交候选人，采购人按照评审报告中推荐的成交候选供应商顺序确定成交供应商、授权磋商小组直接确定成交供应商。</w:t>
      </w:r>
    </w:p>
    <w:p>
      <w:pPr>
        <w:spacing w:line="360" w:lineRule="auto"/>
        <w:ind w:firstLine="480" w:firstLineChars="200"/>
        <w:rPr>
          <w:rFonts w:ascii="宋体" w:hAnsi="宋体" w:cs="宋体"/>
          <w:b/>
          <w:sz w:val="24"/>
          <w:szCs w:val="24"/>
        </w:rPr>
      </w:pPr>
      <w:r>
        <w:rPr>
          <w:rFonts w:hint="eastAsia" w:ascii="宋体" w:hAnsi="宋体" w:cs="宋体"/>
          <w:sz w:val="24"/>
          <w:szCs w:val="24"/>
        </w:rPr>
        <w:t>9.发布成交结果公告。</w:t>
      </w:r>
    </w:p>
    <w:p>
      <w:pPr>
        <w:spacing w:line="360" w:lineRule="auto"/>
        <w:rPr>
          <w:rFonts w:ascii="宋体" w:hAnsi="宋体" w:cs="宋体"/>
          <w:b/>
          <w:sz w:val="24"/>
          <w:szCs w:val="24"/>
        </w:rPr>
      </w:pPr>
      <w:r>
        <w:rPr>
          <w:rFonts w:hint="eastAsia" w:ascii="宋体" w:hAnsi="宋体" w:cs="宋体"/>
          <w:b/>
          <w:sz w:val="24"/>
          <w:szCs w:val="24"/>
        </w:rPr>
        <w:t xml:space="preserve">    二、评审办法</w:t>
      </w:r>
    </w:p>
    <w:p>
      <w:pPr>
        <w:spacing w:line="360" w:lineRule="auto"/>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2、磋商小组采用综合评分法对最后提交报价的供应商的响应文件和最后报价进行综合评分。评审时，磋商小组各成员应当独立对每个有效响应的文件进行评价、打分，然后汇总每个供应商每项评分因素的得分。</w:t>
      </w:r>
    </w:p>
    <w:p>
      <w:pPr>
        <w:spacing w:line="360" w:lineRule="auto"/>
        <w:ind w:firstLine="480" w:firstLineChars="200"/>
        <w:rPr>
          <w:rFonts w:ascii="宋体" w:hAnsi="宋体" w:cs="宋体"/>
          <w:sz w:val="24"/>
          <w:szCs w:val="24"/>
        </w:rPr>
      </w:pPr>
      <w:r>
        <w:rPr>
          <w:rFonts w:hint="eastAsia" w:ascii="宋体" w:hAnsi="宋体" w:cs="宋体"/>
          <w:sz w:val="24"/>
          <w:szCs w:val="24"/>
        </w:rPr>
        <w:t>3、磋商小组根据综合评分情况，按照评审得分由高到低顺序推荐成交候选供应商，并编写评审报告。评审得分相同的，按照最后报价由低到高的顺序推荐。评审得分且最后报价相同的，按照技术指标优劣的顺序推荐。</w:t>
      </w:r>
    </w:p>
    <w:p>
      <w:pPr>
        <w:spacing w:line="360" w:lineRule="auto"/>
        <w:ind w:firstLine="480" w:firstLineChars="200"/>
        <w:rPr>
          <w:rFonts w:ascii="宋体" w:hAnsi="宋体" w:cs="宋体"/>
          <w:sz w:val="24"/>
          <w:szCs w:val="24"/>
        </w:rPr>
      </w:pPr>
      <w:r>
        <w:rPr>
          <w:rFonts w:hint="eastAsia" w:ascii="宋体" w:hAnsi="宋体" w:cs="宋体"/>
          <w:sz w:val="24"/>
          <w:szCs w:val="24"/>
        </w:rPr>
        <w:t>4、综合评分表</w:t>
      </w:r>
    </w:p>
    <w:p>
      <w:pPr>
        <w:spacing w:line="360" w:lineRule="auto"/>
        <w:ind w:firstLine="480" w:firstLineChars="200"/>
        <w:rPr>
          <w:rFonts w:ascii="宋体" w:hAnsi="宋体" w:cs="宋体"/>
          <w:b/>
          <w:sz w:val="24"/>
          <w:szCs w:val="24"/>
        </w:rPr>
      </w:pPr>
      <w:r>
        <w:rPr>
          <w:rFonts w:hint="eastAsia" w:ascii="宋体" w:hAnsi="宋体" w:cs="宋体"/>
          <w:b/>
          <w:sz w:val="24"/>
          <w:szCs w:val="24"/>
        </w:rPr>
        <w:t>三、磋商内容及相关要求</w:t>
      </w:r>
    </w:p>
    <w:p>
      <w:pPr>
        <w:spacing w:line="360" w:lineRule="auto"/>
        <w:ind w:firstLine="480" w:firstLineChars="200"/>
        <w:rPr>
          <w:rFonts w:ascii="宋体" w:hAnsi="宋体" w:cs="宋体"/>
          <w:sz w:val="24"/>
          <w:szCs w:val="24"/>
        </w:rPr>
      </w:pPr>
      <w:r>
        <w:rPr>
          <w:rFonts w:hint="eastAsia" w:ascii="宋体" w:hAnsi="宋体" w:cs="宋体"/>
          <w:sz w:val="24"/>
          <w:szCs w:val="24"/>
        </w:rPr>
        <w:t>1.磋商小组对所有参加磋商供应商的评定，以相同的程序和方法严格按照磋商文件的要求和条件进行。磋商过程中，磋商小组可以根据磋商情况调整轮次。</w:t>
      </w:r>
    </w:p>
    <w:p>
      <w:pPr>
        <w:spacing w:line="360" w:lineRule="auto"/>
        <w:ind w:firstLine="480" w:firstLineChars="200"/>
        <w:rPr>
          <w:rFonts w:ascii="宋体" w:hAnsi="宋体" w:cs="宋体"/>
          <w:sz w:val="24"/>
          <w:szCs w:val="24"/>
        </w:rPr>
      </w:pPr>
      <w:r>
        <w:rPr>
          <w:rFonts w:hint="eastAsia" w:ascii="宋体" w:hAnsi="宋体" w:cs="宋体"/>
          <w:sz w:val="24"/>
          <w:szCs w:val="24"/>
        </w:rPr>
        <w:t>2.根据《政府采购促进中小企业发展暂行办法》（财库[2011]181号）的规定，对小型和微型企业产品的价格给予6%的价格扣除，用扣除后的价格参与评审。</w:t>
      </w:r>
    </w:p>
    <w:p>
      <w:pPr>
        <w:pStyle w:val="10"/>
        <w:shd w:val="clear" w:color="auto" w:fill="FFFFFF"/>
        <w:snapToGrid w:val="0"/>
        <w:spacing w:before="0" w:beforeAutospacing="0" w:after="0" w:afterAutospacing="0" w:line="360" w:lineRule="auto"/>
        <w:ind w:firstLine="480" w:firstLineChars="200"/>
        <w:jc w:val="both"/>
        <w:rPr>
          <w:rFonts w:cs="宋体"/>
          <w:kern w:val="2"/>
        </w:rPr>
      </w:pPr>
      <w:r>
        <w:rPr>
          <w:rFonts w:hint="eastAsia" w:cs="宋体"/>
          <w:kern w:val="2"/>
        </w:rPr>
        <w:t>3.</w:t>
      </w:r>
      <w:r>
        <w:rPr>
          <w:rFonts w:hint="eastAsia" w:cs="宋体"/>
          <w:szCs w:val="21"/>
        </w:rPr>
        <w:t>有失信行为记入诚信档案且在有效期内的供应商，实行10%的报价加成，以加成后报价作为该供应商报价评审。因其失信行为进行报价加成惩戒后报价超过政府采购预算的，其响应文件按照无效处理。</w:t>
      </w:r>
    </w:p>
    <w:p>
      <w:pPr>
        <w:pStyle w:val="10"/>
        <w:shd w:val="clear" w:color="auto" w:fill="FFFFFF"/>
        <w:snapToGrid w:val="0"/>
        <w:spacing w:before="0" w:beforeAutospacing="0" w:after="0" w:afterAutospacing="0" w:line="360" w:lineRule="auto"/>
        <w:ind w:firstLine="480" w:firstLineChars="200"/>
        <w:jc w:val="both"/>
        <w:rPr>
          <w:rFonts w:cs="宋体"/>
          <w:kern w:val="2"/>
        </w:rPr>
      </w:pPr>
      <w:r>
        <w:rPr>
          <w:rFonts w:hint="eastAsia" w:cs="宋体"/>
          <w:kern w:val="2"/>
        </w:rPr>
        <w:t>4.磋商过程中，磋商小组获得采购人同意并书面确认后，可以根据磋商文件和磋商情况实质性变动采购需求中的技术、服务要求以及合同条款。并及时以书面形式同时通知所有参加磋商的供应商。</w:t>
      </w:r>
    </w:p>
    <w:p>
      <w:pPr>
        <w:pStyle w:val="10"/>
        <w:shd w:val="clear" w:color="auto" w:fill="FFFFFF"/>
        <w:snapToGrid w:val="0"/>
        <w:spacing w:before="0" w:beforeAutospacing="0" w:after="0" w:afterAutospacing="0" w:line="360" w:lineRule="auto"/>
        <w:ind w:firstLine="480" w:firstLineChars="200"/>
        <w:jc w:val="both"/>
        <w:rPr>
          <w:rFonts w:cs="宋体"/>
        </w:rPr>
      </w:pPr>
      <w:r>
        <w:rPr>
          <w:rFonts w:hint="eastAsia" w:cs="宋体"/>
          <w:kern w:val="2"/>
        </w:rPr>
        <w:t>磋商小组变动磋商文件的，应当要求供应商就变动的部分重新提交响应文件，并给予供应商重新提交响应文件的合理时间。供应商应当按照磋商文件的变动情况和磋商小组的要求重新提交响应文件，并</w:t>
      </w:r>
      <w:r>
        <w:rPr>
          <w:rFonts w:hint="eastAsia" w:cs="宋体"/>
        </w:rPr>
        <w:t>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pPr>
        <w:pStyle w:val="10"/>
        <w:shd w:val="clear" w:color="auto" w:fill="FFFFFF"/>
        <w:snapToGrid w:val="0"/>
        <w:spacing w:before="0" w:beforeAutospacing="0" w:after="0" w:afterAutospacing="0" w:line="360" w:lineRule="auto"/>
        <w:ind w:firstLine="480" w:firstLineChars="200"/>
        <w:jc w:val="both"/>
        <w:rPr>
          <w:rFonts w:cs="宋体"/>
        </w:rPr>
      </w:pPr>
      <w:r>
        <w:rPr>
          <w:rFonts w:hint="eastAsia" w:cs="宋体"/>
        </w:rPr>
        <w:t>5.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pPr>
        <w:pStyle w:val="10"/>
        <w:shd w:val="clear" w:color="auto" w:fill="FFFFFF"/>
        <w:snapToGrid w:val="0"/>
        <w:spacing w:before="0" w:beforeAutospacing="0" w:after="0" w:afterAutospacing="0" w:line="360" w:lineRule="auto"/>
        <w:ind w:firstLine="480" w:firstLineChars="200"/>
        <w:jc w:val="both"/>
        <w:rPr>
          <w:rFonts w:cs="宋体"/>
        </w:rPr>
      </w:pPr>
      <w:r>
        <w:rPr>
          <w:rFonts w:hint="eastAsia" w:cs="宋体"/>
        </w:rPr>
        <w:t>6.磋商小组在评审过程中，对供应商响应文件中含义不明确、同类问题表述不一致、有明显文字和计算错误或者其他需要澄清的内容，应当以书面形式（须由磋商小组会全体成员签字）要求供应商作出必要的书面澄清，并给予供应商必要的反馈时间。</w:t>
      </w:r>
    </w:p>
    <w:p>
      <w:pPr>
        <w:spacing w:line="360" w:lineRule="auto"/>
        <w:ind w:firstLine="480" w:firstLineChars="200"/>
        <w:rPr>
          <w:rFonts w:ascii="宋体" w:hAnsi="宋体" w:cs="宋体"/>
          <w:sz w:val="32"/>
          <w:szCs w:val="32"/>
        </w:rPr>
      </w:pPr>
      <w:r>
        <w:rPr>
          <w:rFonts w:hint="eastAsia" w:ascii="宋体" w:hAnsi="宋体" w:cs="宋体"/>
          <w:sz w:val="24"/>
          <w:szCs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7.供应商进行最后报价，应当在评审室外填写报价单，密封递交现场监督人员或采购单位工作人员。由工作人员收齐后集中递交磋商小组。</w:t>
      </w:r>
    </w:p>
    <w:p>
      <w:pPr>
        <w:spacing w:line="360" w:lineRule="auto"/>
        <w:ind w:firstLine="480" w:firstLineChars="200"/>
        <w:rPr>
          <w:rFonts w:ascii="宋体" w:hAnsi="宋体" w:cs="宋体"/>
          <w:sz w:val="24"/>
          <w:szCs w:val="24"/>
        </w:rPr>
      </w:pPr>
      <w:r>
        <w:rPr>
          <w:rFonts w:hint="eastAsia" w:ascii="宋体" w:hAnsi="宋体" w:cs="宋体"/>
          <w:sz w:val="24"/>
          <w:szCs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8.复核。磋商过程中，磋商小组应当按照财政部的规定进行复核。</w:t>
      </w:r>
    </w:p>
    <w:p>
      <w:pPr>
        <w:spacing w:line="360" w:lineRule="auto"/>
        <w:ind w:firstLine="470" w:firstLineChars="196"/>
        <w:rPr>
          <w:rFonts w:ascii="宋体" w:hAnsi="宋体" w:cs="宋体"/>
          <w:b/>
          <w:sz w:val="24"/>
          <w:szCs w:val="24"/>
        </w:rPr>
      </w:pPr>
      <w:r>
        <w:rPr>
          <w:rFonts w:hint="eastAsia" w:ascii="宋体" w:hAnsi="宋体" w:cs="宋体"/>
          <w:b/>
          <w:sz w:val="24"/>
          <w:szCs w:val="24"/>
        </w:rPr>
        <w:t>四、磋商工作纪律和注意事项</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1.磋商过程在严格保密的情况下进行，任何单位和个人不得非法干预、影响磋商过程和结果。</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2.磋商小组内部讨论的情况和意见必须保密，任何人不得以任何形式透露给供应商或与供应商有关的单位或个人。</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3.在磋商过程中，供应商不得以任何形式对磋商小组成员进行旨在影响磋商结果的私下接触，否则将取消其参与磋商的资格。</w:t>
      </w:r>
    </w:p>
    <w:p>
      <w:pPr>
        <w:tabs>
          <w:tab w:val="left" w:pos="1080"/>
        </w:tabs>
        <w:spacing w:line="360" w:lineRule="auto"/>
        <w:ind w:firstLine="568" w:firstLineChars="237"/>
        <w:rPr>
          <w:rFonts w:ascii="宋体" w:hAnsi="宋体" w:cs="宋体"/>
          <w:sz w:val="24"/>
          <w:szCs w:val="24"/>
        </w:rPr>
      </w:pPr>
      <w:r>
        <w:rPr>
          <w:rFonts w:hint="eastAsia" w:ascii="宋体" w:hAnsi="宋体" w:cs="宋体"/>
          <w:sz w:val="24"/>
          <w:szCs w:val="24"/>
        </w:rPr>
        <w:t>4.对各供应商的商业秘密，磋商小组成员应予以保密，不得泄露给其他供应商。</w:t>
      </w:r>
    </w:p>
    <w:p>
      <w:pPr>
        <w:tabs>
          <w:tab w:val="left" w:pos="1080"/>
        </w:tabs>
        <w:spacing w:line="360" w:lineRule="auto"/>
        <w:ind w:left="570"/>
        <w:rPr>
          <w:rFonts w:ascii="宋体" w:hAnsi="宋体" w:cs="宋体"/>
          <w:sz w:val="24"/>
          <w:szCs w:val="24"/>
        </w:rPr>
      </w:pPr>
      <w:r>
        <w:rPr>
          <w:rFonts w:hint="eastAsia" w:ascii="宋体" w:hAnsi="宋体" w:cs="宋体"/>
          <w:sz w:val="24"/>
          <w:szCs w:val="24"/>
        </w:rPr>
        <w:t>5.磋商小组独立评判，推荐成交候选人，并出具评审报告。</w:t>
      </w:r>
    </w:p>
    <w:p>
      <w:pPr>
        <w:tabs>
          <w:tab w:val="left" w:pos="900"/>
        </w:tabs>
        <w:spacing w:line="360" w:lineRule="auto"/>
        <w:ind w:firstLine="568" w:firstLineChars="237"/>
        <w:rPr>
          <w:rFonts w:ascii="宋体" w:hAnsi="宋体" w:cs="宋体"/>
          <w:b/>
          <w:sz w:val="24"/>
          <w:szCs w:val="24"/>
        </w:rPr>
      </w:pPr>
      <w:r>
        <w:rPr>
          <w:rFonts w:hint="eastAsia" w:ascii="宋体" w:hAnsi="宋体" w:cs="宋体"/>
          <w:b/>
          <w:sz w:val="24"/>
          <w:szCs w:val="24"/>
        </w:rPr>
        <w:t>四、其他情形</w:t>
      </w:r>
    </w:p>
    <w:p>
      <w:pPr>
        <w:tabs>
          <w:tab w:val="left" w:pos="900"/>
        </w:tabs>
        <w:spacing w:line="360" w:lineRule="auto"/>
        <w:ind w:firstLine="568" w:firstLineChars="237"/>
        <w:rPr>
          <w:rFonts w:ascii="宋体" w:hAnsi="宋体" w:cs="宋体"/>
          <w:sz w:val="24"/>
          <w:szCs w:val="24"/>
        </w:rPr>
      </w:pPr>
      <w:r>
        <w:rPr>
          <w:rFonts w:hint="eastAsia" w:ascii="宋体" w:hAnsi="宋体" w:cs="宋体"/>
          <w:sz w:val="24"/>
          <w:szCs w:val="24"/>
        </w:rPr>
        <w:t>1.成交供应商拒绝签订政府采购合同或者因自身原因不能履约放弃成交或者被依法取消成交资格，采购单位可以从其他成交候选人中依照顺序重新确定成交供应商,也可以重新组织采购。拒绝签订政府采购合同的成交供应商不得参加对该项目重新开展的采购活动。</w:t>
      </w:r>
    </w:p>
    <w:p>
      <w:pPr>
        <w:spacing w:line="360" w:lineRule="auto"/>
        <w:ind w:firstLine="540" w:firstLineChars="225"/>
        <w:rPr>
          <w:rFonts w:ascii="宋体" w:hAnsi="宋体" w:cs="宋体"/>
          <w:sz w:val="24"/>
          <w:szCs w:val="24"/>
        </w:rPr>
      </w:pPr>
      <w:r>
        <w:rPr>
          <w:rFonts w:hint="eastAsia" w:ascii="宋体" w:hAnsi="宋体" w:cs="宋体"/>
          <w:sz w:val="24"/>
          <w:szCs w:val="24"/>
        </w:rPr>
        <w:t>2.采购人依法确定不出成交供应商的，应当重新组织采购，书面告知成交候选供应商，说明理由，并发布公告。采购人逾期未确定成交供应商且不提出异议的，视为确定评审报告提出的排序第一的成交候选供应商为成交供应商。</w:t>
      </w:r>
    </w:p>
    <w:p>
      <w:pPr>
        <w:spacing w:beforeLines="100" w:afterLines="100" w:line="360" w:lineRule="auto"/>
        <w:jc w:val="center"/>
        <w:rPr>
          <w:rFonts w:ascii="宋体" w:hAnsi="宋体" w:cs="宋体"/>
          <w:sz w:val="32"/>
          <w:szCs w:val="28"/>
        </w:rPr>
      </w:pPr>
      <w:r>
        <w:rPr>
          <w:rFonts w:hint="eastAsia" w:ascii="宋体" w:hAnsi="宋体" w:cs="宋体"/>
          <w:sz w:val="32"/>
          <w:szCs w:val="28"/>
        </w:rPr>
        <w:t>综合评分明细表</w:t>
      </w:r>
    </w:p>
    <w:tbl>
      <w:tblPr>
        <w:tblStyle w:val="11"/>
        <w:tblW w:w="9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972"/>
        <w:gridCol w:w="851"/>
        <w:gridCol w:w="483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3" w:type="dxa"/>
            <w:vAlign w:val="center"/>
          </w:tcPr>
          <w:p>
            <w:pPr>
              <w:widowControl/>
              <w:jc w:val="center"/>
              <w:rPr>
                <w:rFonts w:ascii="宋体" w:hAnsi="宋体" w:cs="宋体"/>
                <w:b/>
                <w:bCs/>
                <w:color w:val="000000"/>
                <w:sz w:val="24"/>
              </w:rPr>
            </w:pPr>
            <w:r>
              <w:rPr>
                <w:rFonts w:hint="eastAsia" w:ascii="宋体" w:hAnsi="宋体" w:cs="宋体"/>
                <w:b/>
                <w:bCs/>
                <w:color w:val="000000"/>
                <w:sz w:val="24"/>
              </w:rPr>
              <w:t>序号</w:t>
            </w:r>
          </w:p>
        </w:tc>
        <w:tc>
          <w:tcPr>
            <w:tcW w:w="1972" w:type="dxa"/>
            <w:vAlign w:val="center"/>
          </w:tcPr>
          <w:p>
            <w:pPr>
              <w:widowControl/>
              <w:jc w:val="center"/>
              <w:rPr>
                <w:rFonts w:ascii="宋体" w:hAnsi="宋体" w:cs="宋体"/>
                <w:b/>
                <w:bCs/>
                <w:color w:val="000000"/>
                <w:sz w:val="24"/>
              </w:rPr>
            </w:pPr>
            <w:r>
              <w:rPr>
                <w:rFonts w:hint="eastAsia" w:ascii="宋体" w:hAnsi="宋体" w:cs="宋体"/>
                <w:b/>
                <w:bCs/>
                <w:color w:val="000000"/>
                <w:sz w:val="24"/>
              </w:rPr>
              <w:t>评分因素</w:t>
            </w:r>
          </w:p>
        </w:tc>
        <w:tc>
          <w:tcPr>
            <w:tcW w:w="851" w:type="dxa"/>
            <w:vAlign w:val="center"/>
          </w:tcPr>
          <w:p>
            <w:pPr>
              <w:widowControl/>
              <w:jc w:val="center"/>
              <w:rPr>
                <w:rFonts w:ascii="宋体" w:hAnsi="宋体" w:cs="宋体"/>
                <w:b/>
                <w:bCs/>
                <w:color w:val="000000"/>
                <w:sz w:val="24"/>
              </w:rPr>
            </w:pPr>
            <w:r>
              <w:rPr>
                <w:rFonts w:hint="eastAsia" w:ascii="宋体" w:hAnsi="宋体" w:cs="宋体"/>
                <w:b/>
                <w:bCs/>
                <w:color w:val="000000"/>
                <w:sz w:val="24"/>
              </w:rPr>
              <w:t>分值</w:t>
            </w:r>
          </w:p>
        </w:tc>
        <w:tc>
          <w:tcPr>
            <w:tcW w:w="4832" w:type="dxa"/>
            <w:vAlign w:val="center"/>
          </w:tcPr>
          <w:p>
            <w:pPr>
              <w:widowControl/>
              <w:jc w:val="center"/>
              <w:rPr>
                <w:rFonts w:ascii="宋体" w:hAnsi="宋体" w:cs="宋体"/>
                <w:b/>
                <w:bCs/>
                <w:color w:val="000000"/>
                <w:sz w:val="24"/>
              </w:rPr>
            </w:pPr>
            <w:r>
              <w:rPr>
                <w:rFonts w:hint="eastAsia" w:ascii="宋体" w:hAnsi="宋体" w:cs="宋体"/>
                <w:b/>
                <w:bCs/>
                <w:color w:val="000000"/>
                <w:sz w:val="24"/>
              </w:rPr>
              <w:t>评分标准</w:t>
            </w:r>
          </w:p>
        </w:tc>
        <w:tc>
          <w:tcPr>
            <w:tcW w:w="1456" w:type="dxa"/>
            <w:vAlign w:val="center"/>
          </w:tcPr>
          <w:p>
            <w:pPr>
              <w:widowControl/>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972"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报价</w:t>
            </w:r>
          </w:p>
        </w:tc>
        <w:tc>
          <w:tcPr>
            <w:tcW w:w="851"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20</w:t>
            </w:r>
          </w:p>
        </w:tc>
        <w:tc>
          <w:tcPr>
            <w:tcW w:w="4832" w:type="dxa"/>
            <w:vAlign w:val="center"/>
          </w:tcPr>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以本次有效的最低投标报价为基准价，投标报价得分=(基准价／投标报价)* 20分</w:t>
            </w:r>
          </w:p>
        </w:tc>
        <w:tc>
          <w:tcPr>
            <w:tcW w:w="1456" w:type="dxa"/>
            <w:vAlign w:val="center"/>
          </w:tcPr>
          <w:p>
            <w:pPr>
              <w:widowControl/>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972"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合作服务响应</w:t>
            </w:r>
          </w:p>
        </w:tc>
        <w:tc>
          <w:tcPr>
            <w:tcW w:w="851"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20</w:t>
            </w:r>
          </w:p>
        </w:tc>
        <w:tc>
          <w:tcPr>
            <w:tcW w:w="4832" w:type="dxa"/>
            <w:vAlign w:val="center"/>
          </w:tcPr>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完全满足招标文件要求无偏离的得满分20分；每出现一项偏离的扣2分,扣完为止。</w:t>
            </w:r>
          </w:p>
        </w:tc>
        <w:tc>
          <w:tcPr>
            <w:tcW w:w="1456" w:type="dxa"/>
            <w:vAlign w:val="center"/>
          </w:tcPr>
          <w:p>
            <w:pPr>
              <w:widowControl/>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w:t>
            </w:r>
          </w:p>
        </w:tc>
        <w:tc>
          <w:tcPr>
            <w:tcW w:w="1972"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项目业绩</w:t>
            </w:r>
          </w:p>
        </w:tc>
        <w:tc>
          <w:tcPr>
            <w:tcW w:w="851"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25</w:t>
            </w:r>
          </w:p>
        </w:tc>
        <w:tc>
          <w:tcPr>
            <w:tcW w:w="4832" w:type="dxa"/>
            <w:vAlign w:val="center"/>
          </w:tcPr>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参选人自2017年1月1日以后（含1日）完成的类似项目业绩，1个得5分，最多不超过25分。</w:t>
            </w:r>
          </w:p>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以合同复印件关键页为准。</w:t>
            </w:r>
          </w:p>
        </w:tc>
        <w:tc>
          <w:tcPr>
            <w:tcW w:w="1456" w:type="dxa"/>
            <w:vAlign w:val="center"/>
          </w:tcPr>
          <w:p>
            <w:pPr>
              <w:widowControl/>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p>
        </w:tc>
        <w:tc>
          <w:tcPr>
            <w:tcW w:w="1972"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质量保证与履约能力</w:t>
            </w:r>
          </w:p>
        </w:tc>
        <w:tc>
          <w:tcPr>
            <w:tcW w:w="851"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4832" w:type="dxa"/>
            <w:vAlign w:val="center"/>
          </w:tcPr>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1、主创人员中至少1人有高级职称，得5分。</w:t>
            </w:r>
          </w:p>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2、主创团队获得国家级新闻传播类奖项，有一项得4分，满分8分。</w:t>
            </w:r>
          </w:p>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3、有作品完曾在省级广播融媒体平台发布，得4分。</w:t>
            </w:r>
          </w:p>
        </w:tc>
        <w:tc>
          <w:tcPr>
            <w:tcW w:w="1456" w:type="dxa"/>
            <w:vAlign w:val="center"/>
          </w:tcPr>
          <w:p>
            <w:pPr>
              <w:widowControl/>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w:t>
            </w:r>
          </w:p>
        </w:tc>
        <w:tc>
          <w:tcPr>
            <w:tcW w:w="1972"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项目组织方案</w:t>
            </w:r>
          </w:p>
        </w:tc>
        <w:tc>
          <w:tcPr>
            <w:tcW w:w="851"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14</w:t>
            </w:r>
          </w:p>
        </w:tc>
        <w:tc>
          <w:tcPr>
            <w:tcW w:w="4832" w:type="dxa"/>
            <w:vAlign w:val="center"/>
          </w:tcPr>
          <w:p>
            <w:pPr>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1、涉及工作组织、进度安排及计划；4分；内容不足酌情扣分。</w:t>
            </w:r>
          </w:p>
          <w:p>
            <w:pPr>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2、涉及项目质量控制，保证进度、保证应用品质的措施等，5分；内容不足酌情扣分。</w:t>
            </w:r>
          </w:p>
          <w:p>
            <w:pPr>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3、涉及技术支持及服务承诺等，5分；内容不足酌情扣分。</w:t>
            </w:r>
          </w:p>
        </w:tc>
        <w:tc>
          <w:tcPr>
            <w:tcW w:w="1456" w:type="dxa"/>
            <w:vAlign w:val="center"/>
          </w:tcPr>
          <w:p>
            <w:pPr>
              <w:widowControl/>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03"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w:t>
            </w:r>
          </w:p>
        </w:tc>
        <w:tc>
          <w:tcPr>
            <w:tcW w:w="1972"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投标文件的规范性</w:t>
            </w:r>
          </w:p>
        </w:tc>
        <w:tc>
          <w:tcPr>
            <w:tcW w:w="851"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p>
        </w:tc>
        <w:tc>
          <w:tcPr>
            <w:tcW w:w="4832" w:type="dxa"/>
            <w:vAlign w:val="center"/>
          </w:tcPr>
          <w:p>
            <w:pPr>
              <w:widowControl/>
              <w:ind w:firstLine="420" w:firstLineChars="20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参选文件制作规范，没有细微偏差情形的得4分，有一项细微偏差扣1分，直至该项分值扣完为止。</w:t>
            </w:r>
          </w:p>
        </w:tc>
        <w:tc>
          <w:tcPr>
            <w:tcW w:w="1456" w:type="dxa"/>
            <w:vAlign w:val="center"/>
          </w:tcPr>
          <w:p>
            <w:pPr>
              <w:widowControl/>
              <w:ind w:left="336" w:hanging="336" w:hangingChars="16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w:t>
            </w:r>
          </w:p>
        </w:tc>
      </w:tr>
    </w:tbl>
    <w:p>
      <w:pPr>
        <w:spacing w:line="360" w:lineRule="auto"/>
        <w:rPr>
          <w:rFonts w:ascii="宋体" w:hAnsi="宋体" w:cs="宋体"/>
          <w:sz w:val="24"/>
          <w:szCs w:val="24"/>
        </w:rPr>
      </w:pPr>
    </w:p>
    <w:p>
      <w:pPr>
        <w:pStyle w:val="2"/>
        <w:rPr>
          <w:rFonts w:ascii="宋体" w:hAnsi="宋体" w:eastAsia="宋体" w:cs="宋体"/>
        </w:rPr>
      </w:pPr>
      <w:bookmarkStart w:id="67" w:name="_Toc193106073"/>
      <w:bookmarkStart w:id="68" w:name="_Toc193106184"/>
      <w:bookmarkStart w:id="69" w:name="_Toc192318716"/>
      <w:bookmarkStart w:id="70" w:name="_Toc193105927"/>
      <w:bookmarkStart w:id="71" w:name="_Toc18884"/>
      <w:bookmarkStart w:id="72" w:name="_Toc16149"/>
      <w:bookmarkStart w:id="73" w:name="_Toc22129"/>
    </w:p>
    <w:p>
      <w:pPr>
        <w:pStyle w:val="2"/>
        <w:rPr>
          <w:rFonts w:ascii="宋体" w:hAnsi="宋体" w:eastAsia="宋体" w:cs="宋体"/>
        </w:rPr>
      </w:pPr>
    </w:p>
    <w:p>
      <w:pPr>
        <w:pStyle w:val="2"/>
        <w:rPr>
          <w:rFonts w:ascii="宋体" w:hAnsi="宋体" w:eastAsia="宋体" w:cs="宋体"/>
        </w:rPr>
      </w:pPr>
      <w:r>
        <w:rPr>
          <w:rFonts w:hint="eastAsia" w:ascii="宋体" w:hAnsi="宋体" w:eastAsia="宋体" w:cs="宋体"/>
        </w:rPr>
        <w:t>十一 、</w:t>
      </w:r>
      <w:bookmarkEnd w:id="67"/>
      <w:bookmarkEnd w:id="68"/>
      <w:bookmarkEnd w:id="69"/>
      <w:bookmarkEnd w:id="70"/>
      <w:r>
        <w:rPr>
          <w:rFonts w:hint="eastAsia" w:ascii="宋体" w:hAnsi="宋体" w:eastAsia="宋体" w:cs="宋体"/>
        </w:rPr>
        <w:t>供应商响应文件相关文书格式</w:t>
      </w:r>
      <w:bookmarkEnd w:id="71"/>
      <w:bookmarkEnd w:id="72"/>
      <w:bookmarkEnd w:id="73"/>
    </w:p>
    <w:p>
      <w:pPr>
        <w:jc w:val="left"/>
        <w:rPr>
          <w:rFonts w:ascii="宋体" w:hAnsi="宋体" w:cs="宋体"/>
          <w:b/>
          <w:sz w:val="32"/>
          <w:szCs w:val="32"/>
        </w:rPr>
      </w:pPr>
      <w:r>
        <w:rPr>
          <w:rFonts w:hint="eastAsia" w:ascii="宋体" w:hAnsi="宋体" w:cs="宋体"/>
          <w:b/>
          <w:sz w:val="32"/>
          <w:szCs w:val="32"/>
        </w:rPr>
        <w:t>格式1</w:t>
      </w:r>
    </w:p>
    <w:p>
      <w:pPr>
        <w:jc w:val="center"/>
        <w:rPr>
          <w:rFonts w:ascii="宋体" w:hAnsi="宋体" w:cs="宋体"/>
          <w:b/>
          <w:sz w:val="32"/>
          <w:szCs w:val="32"/>
        </w:rPr>
      </w:pPr>
      <w:r>
        <w:rPr>
          <w:rFonts w:hint="eastAsia" w:ascii="宋体" w:hAnsi="宋体" w:cs="宋体"/>
          <w:b/>
          <w:sz w:val="32"/>
          <w:szCs w:val="32"/>
        </w:rPr>
        <w:t>磋商函</w:t>
      </w:r>
    </w:p>
    <w:p>
      <w:pPr>
        <w:spacing w:line="360" w:lineRule="auto"/>
        <w:rPr>
          <w:rFonts w:ascii="宋体" w:hAnsi="宋体" w:cs="宋体"/>
          <w:sz w:val="24"/>
          <w:szCs w:val="24"/>
        </w:rPr>
      </w:pPr>
      <w:r>
        <w:rPr>
          <w:rFonts w:hint="eastAsia" w:ascii="宋体" w:hAnsi="宋体" w:cs="宋体"/>
          <w:sz w:val="24"/>
          <w:szCs w:val="24"/>
        </w:rPr>
        <w:t>四川省应急管理厅：</w:t>
      </w:r>
    </w:p>
    <w:p>
      <w:pPr>
        <w:spacing w:line="360" w:lineRule="auto"/>
        <w:ind w:firstLine="735"/>
        <w:jc w:val="left"/>
        <w:rPr>
          <w:rFonts w:ascii="宋体" w:hAnsi="宋体" w:cs="宋体"/>
          <w:sz w:val="24"/>
          <w:szCs w:val="24"/>
        </w:rPr>
      </w:pPr>
      <w:r>
        <w:rPr>
          <w:rFonts w:hint="eastAsia" w:ascii="宋体" w:hAnsi="宋体" w:cs="宋体"/>
          <w:sz w:val="24"/>
          <w:szCs w:val="24"/>
        </w:rPr>
        <w:t>1.我单位全面研究了你单位“ ”项目磋商文件，决定参加贵单位组织的本项目磋商报价。我方授权（姓名、职务）代表我方（磋商报价单位的名称）全权处理本项目磋商报价的有关事宜。</w:t>
      </w:r>
    </w:p>
    <w:p>
      <w:pPr>
        <w:spacing w:line="360" w:lineRule="auto"/>
        <w:ind w:firstLine="630"/>
        <w:rPr>
          <w:rFonts w:ascii="宋体" w:hAnsi="宋体" w:cs="宋体"/>
          <w:sz w:val="24"/>
          <w:szCs w:val="24"/>
        </w:rPr>
      </w:pPr>
      <w:r>
        <w:rPr>
          <w:rFonts w:hint="eastAsia" w:ascii="宋体" w:hAnsi="宋体" w:cs="宋体"/>
          <w:sz w:val="24"/>
          <w:szCs w:val="24"/>
        </w:rPr>
        <w:t>2．一旦我方成交，我方将严格履行合同规定的责任和义务。</w:t>
      </w:r>
    </w:p>
    <w:p>
      <w:pPr>
        <w:spacing w:line="360" w:lineRule="auto"/>
        <w:ind w:firstLine="630"/>
        <w:rPr>
          <w:rFonts w:ascii="宋体" w:hAnsi="宋体" w:cs="宋体"/>
          <w:sz w:val="24"/>
          <w:szCs w:val="24"/>
        </w:rPr>
      </w:pPr>
      <w:r>
        <w:rPr>
          <w:rFonts w:hint="eastAsia" w:ascii="宋体" w:hAnsi="宋体" w:cs="宋体"/>
          <w:sz w:val="24"/>
          <w:szCs w:val="24"/>
        </w:rPr>
        <w:t>3. 我方同意本谈判文件依据《四川省政府采购当事人诚信管理办法》（川财采【2015】33号文件）对我方可能存在的失信行为进行的惩戒。</w:t>
      </w:r>
    </w:p>
    <w:p>
      <w:pPr>
        <w:spacing w:line="360" w:lineRule="auto"/>
        <w:ind w:firstLine="630"/>
        <w:rPr>
          <w:rFonts w:ascii="宋体" w:hAnsi="宋体" w:cs="宋体"/>
          <w:sz w:val="24"/>
          <w:szCs w:val="24"/>
        </w:rPr>
      </w:pPr>
      <w:r>
        <w:rPr>
          <w:rFonts w:hint="eastAsia" w:ascii="宋体" w:hAnsi="宋体" w:cs="宋体"/>
          <w:sz w:val="24"/>
          <w:szCs w:val="24"/>
        </w:rPr>
        <w:t>4.我方愿意提供贵单位可能另外要求的，与磋商报价有关的文件资料，并保证我方已提供和将要提供的文件资料是真实、准确的, 对提交的响应文件的真实性、合法性承担法律责任。</w:t>
      </w:r>
    </w:p>
    <w:p>
      <w:pPr>
        <w:spacing w:line="360" w:lineRule="auto"/>
        <w:ind w:firstLine="630"/>
        <w:rPr>
          <w:rFonts w:ascii="宋体" w:hAnsi="宋体" w:cs="宋体"/>
          <w:sz w:val="24"/>
          <w:szCs w:val="24"/>
        </w:rPr>
      </w:pPr>
      <w:r>
        <w:rPr>
          <w:rFonts w:hint="eastAsia" w:ascii="宋体" w:hAnsi="宋体" w:cs="宋体"/>
          <w:sz w:val="24"/>
          <w:szCs w:val="24"/>
        </w:rPr>
        <w:t>5.我方完全理解贵单位不一定将合同授予最低报价的供应商的行为。</w:t>
      </w:r>
    </w:p>
    <w:p>
      <w:pPr>
        <w:spacing w:line="360" w:lineRule="auto"/>
        <w:ind w:firstLine="630"/>
        <w:rPr>
          <w:rFonts w:ascii="宋体" w:hAnsi="宋体" w:cs="宋体"/>
          <w:sz w:val="24"/>
          <w:szCs w:val="24"/>
        </w:rPr>
      </w:pPr>
      <w:r>
        <w:rPr>
          <w:rFonts w:hint="eastAsia" w:ascii="宋体" w:hAnsi="宋体" w:cs="宋体"/>
          <w:sz w:val="24"/>
          <w:szCs w:val="24"/>
        </w:rPr>
        <w:t>6.本次磋商，我方报价有效期为磋商文件规定的磋商之日后 天。</w:t>
      </w:r>
    </w:p>
    <w:p>
      <w:pPr>
        <w:adjustRightInd w:val="0"/>
        <w:spacing w:line="360" w:lineRule="auto"/>
        <w:ind w:firstLine="480" w:firstLineChars="200"/>
        <w:jc w:val="left"/>
        <w:rPr>
          <w:rFonts w:ascii="宋体" w:hAnsi="宋体" w:cs="宋体"/>
          <w:color w:val="000000"/>
          <w:sz w:val="24"/>
          <w:szCs w:val="24"/>
        </w:rPr>
      </w:pPr>
    </w:p>
    <w:p>
      <w:pPr>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spacing w:line="360" w:lineRule="auto"/>
        <w:ind w:firstLine="470" w:firstLineChars="196"/>
        <w:rPr>
          <w:rFonts w:ascii="宋体" w:hAnsi="宋体" w:cs="宋体"/>
          <w:sz w:val="24"/>
          <w:szCs w:val="24"/>
        </w:rPr>
      </w:pPr>
      <w:r>
        <w:rPr>
          <w:rFonts w:hint="eastAsia" w:ascii="宋体" w:hAnsi="宋体" w:cs="宋体"/>
          <w:sz w:val="24"/>
          <w:szCs w:val="24"/>
        </w:rPr>
        <w:t>法定代表人或授权代表（签字或盖章）：</w:t>
      </w:r>
    </w:p>
    <w:p>
      <w:pPr>
        <w:spacing w:line="360" w:lineRule="auto"/>
        <w:ind w:firstLine="470" w:firstLineChars="196"/>
        <w:rPr>
          <w:rFonts w:ascii="宋体" w:hAnsi="宋体" w:cs="宋体"/>
          <w:sz w:val="24"/>
          <w:szCs w:val="24"/>
        </w:rPr>
      </w:pPr>
      <w:r>
        <w:rPr>
          <w:rFonts w:hint="eastAsia" w:ascii="宋体" w:hAnsi="宋体" w:cs="宋体"/>
          <w:sz w:val="24"/>
          <w:szCs w:val="24"/>
        </w:rPr>
        <w:t>通讯地址：</w:t>
      </w:r>
    </w:p>
    <w:p>
      <w:pPr>
        <w:spacing w:line="360" w:lineRule="auto"/>
        <w:ind w:firstLine="470" w:firstLineChars="196"/>
        <w:rPr>
          <w:rFonts w:ascii="宋体" w:hAnsi="宋体" w:cs="宋体"/>
          <w:sz w:val="24"/>
          <w:szCs w:val="24"/>
        </w:rPr>
      </w:pPr>
      <w:r>
        <w:rPr>
          <w:rFonts w:hint="eastAsia" w:ascii="宋体" w:hAnsi="宋体" w:cs="宋体"/>
          <w:sz w:val="24"/>
          <w:szCs w:val="24"/>
        </w:rPr>
        <w:t>联系电话：</w:t>
      </w:r>
    </w:p>
    <w:p>
      <w:pPr>
        <w:spacing w:line="360" w:lineRule="auto"/>
        <w:ind w:firstLine="470" w:firstLineChars="196"/>
        <w:rPr>
          <w:rFonts w:ascii="宋体" w:hAnsi="宋体" w:cs="宋体"/>
          <w:sz w:val="24"/>
          <w:szCs w:val="24"/>
        </w:rPr>
      </w:pPr>
      <w:r>
        <w:rPr>
          <w:rFonts w:hint="eastAsia" w:ascii="宋体" w:hAnsi="宋体" w:cs="宋体"/>
          <w:sz w:val="24"/>
          <w:szCs w:val="24"/>
        </w:rPr>
        <w:t>开户银行：</w:t>
      </w:r>
    </w:p>
    <w:p>
      <w:pPr>
        <w:spacing w:line="360" w:lineRule="auto"/>
        <w:ind w:firstLine="470" w:firstLineChars="196"/>
        <w:rPr>
          <w:rFonts w:ascii="宋体" w:hAnsi="宋体" w:cs="宋体"/>
          <w:sz w:val="24"/>
          <w:szCs w:val="24"/>
        </w:rPr>
      </w:pPr>
      <w:r>
        <w:rPr>
          <w:rFonts w:hint="eastAsia" w:ascii="宋体" w:hAnsi="宋体" w:cs="宋体"/>
          <w:sz w:val="24"/>
          <w:szCs w:val="24"/>
        </w:rPr>
        <w:t>帐    号：</w:t>
      </w:r>
    </w:p>
    <w:p>
      <w:pPr>
        <w:spacing w:line="360" w:lineRule="auto"/>
        <w:ind w:firstLine="470" w:firstLineChars="196"/>
        <w:rPr>
          <w:rFonts w:ascii="宋体" w:hAnsi="宋体" w:cs="宋体"/>
          <w:sz w:val="24"/>
          <w:szCs w:val="24"/>
        </w:rPr>
      </w:pPr>
      <w:r>
        <w:rPr>
          <w:rFonts w:hint="eastAsia" w:ascii="宋体" w:hAnsi="宋体" w:cs="宋体"/>
          <w:sz w:val="24"/>
          <w:szCs w:val="24"/>
        </w:rPr>
        <w:t>收款单位：</w:t>
      </w:r>
    </w:p>
    <w:p>
      <w:pPr>
        <w:spacing w:line="360" w:lineRule="auto"/>
        <w:ind w:firstLine="470" w:firstLineChars="196"/>
        <w:rPr>
          <w:rFonts w:ascii="宋体" w:hAnsi="宋体" w:cs="宋体"/>
          <w:sz w:val="24"/>
          <w:szCs w:val="24"/>
        </w:rPr>
      </w:pPr>
      <w:r>
        <w:rPr>
          <w:rFonts w:hint="eastAsia" w:ascii="宋体" w:hAnsi="宋体" w:cs="宋体"/>
          <w:sz w:val="24"/>
          <w:szCs w:val="24"/>
        </w:rPr>
        <w:t>日期：</w:t>
      </w:r>
    </w:p>
    <w:p>
      <w:pPr>
        <w:widowControl/>
        <w:jc w:val="left"/>
        <w:rPr>
          <w:rFonts w:ascii="宋体" w:hAnsi="宋体" w:cs="宋体"/>
          <w:b/>
          <w:sz w:val="28"/>
          <w:szCs w:val="28"/>
        </w:rPr>
      </w:pPr>
      <w:r>
        <w:rPr>
          <w:rFonts w:ascii="宋体" w:hAnsi="宋体" w:cs="宋体"/>
          <w:b/>
          <w:sz w:val="28"/>
          <w:szCs w:val="28"/>
        </w:rPr>
        <w:br w:type="page"/>
      </w:r>
    </w:p>
    <w:p>
      <w:pPr>
        <w:rPr>
          <w:rFonts w:ascii="宋体" w:hAnsi="宋体" w:cs="宋体"/>
          <w:b/>
          <w:sz w:val="28"/>
          <w:szCs w:val="28"/>
        </w:rPr>
      </w:pPr>
      <w:r>
        <w:rPr>
          <w:rFonts w:hint="eastAsia" w:ascii="宋体" w:hAnsi="宋体" w:cs="宋体"/>
          <w:b/>
          <w:sz w:val="28"/>
          <w:szCs w:val="28"/>
        </w:rPr>
        <w:t>格式2</w:t>
      </w:r>
    </w:p>
    <w:p>
      <w:pPr>
        <w:jc w:val="center"/>
        <w:rPr>
          <w:rFonts w:ascii="宋体" w:hAnsi="宋体" w:cs="宋体"/>
          <w:b/>
          <w:sz w:val="32"/>
          <w:szCs w:val="32"/>
        </w:rPr>
      </w:pPr>
      <w:r>
        <w:rPr>
          <w:rFonts w:hint="eastAsia" w:ascii="宋体" w:hAnsi="宋体" w:cs="宋体"/>
          <w:b/>
          <w:sz w:val="32"/>
          <w:szCs w:val="32"/>
        </w:rPr>
        <w:t>法定代表人授权书</w:t>
      </w:r>
    </w:p>
    <w:p>
      <w:pPr>
        <w:jc w:val="center"/>
        <w:rPr>
          <w:rFonts w:ascii="宋体" w:hAnsi="宋体" w:cs="宋体"/>
          <w:b/>
          <w:sz w:val="44"/>
        </w:rPr>
      </w:pPr>
    </w:p>
    <w:p>
      <w:pPr>
        <w:spacing w:line="480" w:lineRule="auto"/>
        <w:rPr>
          <w:rFonts w:ascii="宋体" w:hAnsi="宋体" w:cs="宋体"/>
          <w:sz w:val="24"/>
          <w:szCs w:val="24"/>
        </w:rPr>
      </w:pPr>
      <w:r>
        <w:rPr>
          <w:rFonts w:hint="eastAsia" w:ascii="宋体" w:hAnsi="宋体" w:cs="宋体"/>
          <w:sz w:val="24"/>
          <w:szCs w:val="24"/>
        </w:rPr>
        <w:t>四川省应急管理厅：</w:t>
      </w:r>
    </w:p>
    <w:p>
      <w:pPr>
        <w:spacing w:line="480" w:lineRule="auto"/>
        <w:ind w:firstLine="630"/>
        <w:rPr>
          <w:rFonts w:ascii="宋体" w:hAnsi="宋体" w:cs="宋体"/>
          <w:sz w:val="24"/>
          <w:szCs w:val="24"/>
        </w:rPr>
      </w:pPr>
      <w:r>
        <w:rPr>
          <w:rFonts w:hint="eastAsia" w:ascii="宋体" w:hAnsi="宋体" w:cs="宋体"/>
          <w:sz w:val="24"/>
          <w:szCs w:val="24"/>
        </w:rPr>
        <w:t>本授权声明：（单位名称）</w:t>
      </w:r>
      <w:r>
        <w:rPr>
          <w:rFonts w:hint="eastAsia" w:ascii="宋体" w:hAnsi="宋体" w:cs="宋体"/>
          <w:color w:val="FFFFFF"/>
          <w:sz w:val="24"/>
          <w:szCs w:val="24"/>
        </w:rPr>
        <w:t>.</w:t>
      </w:r>
      <w:r>
        <w:rPr>
          <w:rFonts w:hint="eastAsia" w:ascii="宋体" w:hAnsi="宋体" w:cs="宋体"/>
          <w:sz w:val="24"/>
          <w:szCs w:val="24"/>
        </w:rPr>
        <w:t xml:space="preserve">（法定代表人姓名、职务）授权（被授权人姓名、职务）为我方 </w:t>
      </w:r>
      <w:r>
        <w:rPr>
          <w:rFonts w:hint="eastAsia" w:ascii="宋体" w:hAnsi="宋体" w:cs="宋体"/>
          <w:color w:val="000000"/>
          <w:sz w:val="24"/>
          <w:szCs w:val="24"/>
        </w:rPr>
        <w:t>号</w:t>
      </w:r>
      <w:r>
        <w:rPr>
          <w:rFonts w:hint="eastAsia" w:ascii="宋体" w:hAnsi="宋体" w:cs="宋体"/>
          <w:sz w:val="24"/>
          <w:szCs w:val="24"/>
        </w:rPr>
        <w:t>“ ”项目磋商报价活动的合法代表，以我方名义全权处理该项目有关磋商报价、签订合同以及执行合同等一切事宜。</w:t>
      </w:r>
    </w:p>
    <w:p>
      <w:pPr>
        <w:spacing w:line="480" w:lineRule="auto"/>
        <w:ind w:firstLine="630"/>
        <w:rPr>
          <w:rFonts w:ascii="宋体" w:hAnsi="宋体" w:cs="宋体"/>
          <w:sz w:val="24"/>
          <w:szCs w:val="24"/>
        </w:rPr>
      </w:pPr>
      <w:r>
        <w:rPr>
          <w:rFonts w:hint="eastAsia" w:ascii="宋体" w:hAnsi="宋体" w:cs="宋体"/>
          <w:sz w:val="24"/>
          <w:szCs w:val="24"/>
        </w:rPr>
        <w:t>特此声明。</w:t>
      </w:r>
    </w:p>
    <w:p>
      <w:pPr>
        <w:adjustRightInd w:val="0"/>
        <w:spacing w:line="480" w:lineRule="auto"/>
        <w:ind w:firstLine="600" w:firstLineChars="250"/>
        <w:jc w:val="left"/>
        <w:rPr>
          <w:rFonts w:ascii="宋体" w:hAnsi="宋体" w:cs="宋体"/>
          <w:color w:val="000000"/>
          <w:sz w:val="24"/>
          <w:szCs w:val="24"/>
        </w:rPr>
      </w:pPr>
      <w:r>
        <w:rPr>
          <w:rFonts w:hint="eastAsia" w:ascii="宋体" w:hAnsi="宋体" w:cs="宋体"/>
          <w:color w:val="000000"/>
          <w:sz w:val="24"/>
          <w:szCs w:val="24"/>
        </w:rPr>
        <w:t>供应商名称：（盖章）</w:t>
      </w:r>
    </w:p>
    <w:p>
      <w:pPr>
        <w:spacing w:line="480" w:lineRule="auto"/>
        <w:ind w:firstLine="588" w:firstLineChars="245"/>
        <w:rPr>
          <w:rFonts w:ascii="宋体" w:hAnsi="宋体" w:cs="宋体"/>
          <w:sz w:val="24"/>
          <w:szCs w:val="24"/>
        </w:rPr>
      </w:pPr>
      <w:r>
        <w:rPr>
          <w:rFonts w:hint="eastAsia" w:ascii="宋体" w:hAnsi="宋体" w:cs="宋体"/>
          <w:sz w:val="24"/>
          <w:szCs w:val="24"/>
        </w:rPr>
        <w:t>法定代表人（签字或盖章）：</w:t>
      </w:r>
    </w:p>
    <w:p>
      <w:pPr>
        <w:spacing w:line="480" w:lineRule="auto"/>
        <w:ind w:firstLine="588" w:firstLineChars="245"/>
        <w:rPr>
          <w:rFonts w:ascii="宋体" w:hAnsi="宋体" w:cs="宋体"/>
          <w:sz w:val="24"/>
          <w:szCs w:val="24"/>
        </w:rPr>
      </w:pPr>
      <w:r>
        <w:rPr>
          <w:rFonts w:hint="eastAsia" w:ascii="宋体" w:hAnsi="宋体" w:cs="宋体"/>
          <w:sz w:val="24"/>
          <w:szCs w:val="24"/>
        </w:rPr>
        <w:t>职    务：</w:t>
      </w:r>
    </w:p>
    <w:p>
      <w:pPr>
        <w:spacing w:line="480" w:lineRule="auto"/>
        <w:ind w:firstLine="588" w:firstLineChars="245"/>
        <w:rPr>
          <w:rFonts w:ascii="宋体" w:hAnsi="宋体" w:cs="宋体"/>
          <w:sz w:val="24"/>
          <w:szCs w:val="24"/>
        </w:rPr>
      </w:pPr>
      <w:r>
        <w:rPr>
          <w:rFonts w:hint="eastAsia" w:ascii="宋体" w:hAnsi="宋体" w:cs="宋体"/>
          <w:sz w:val="24"/>
          <w:szCs w:val="24"/>
        </w:rPr>
        <w:t>授权代表签字：</w:t>
      </w:r>
    </w:p>
    <w:p>
      <w:pPr>
        <w:spacing w:line="480" w:lineRule="auto"/>
        <w:ind w:firstLine="588" w:firstLineChars="245"/>
        <w:rPr>
          <w:rFonts w:ascii="宋体" w:hAnsi="宋体" w:cs="宋体"/>
          <w:sz w:val="24"/>
          <w:szCs w:val="24"/>
        </w:rPr>
      </w:pPr>
      <w:r>
        <w:rPr>
          <w:rFonts w:hint="eastAsia" w:ascii="宋体" w:hAnsi="宋体" w:cs="宋体"/>
          <w:sz w:val="24"/>
          <w:szCs w:val="24"/>
        </w:rPr>
        <w:t>职    务：</w:t>
      </w:r>
    </w:p>
    <w:p>
      <w:pPr>
        <w:spacing w:line="480" w:lineRule="auto"/>
        <w:ind w:firstLine="588" w:firstLineChars="245"/>
        <w:rPr>
          <w:rFonts w:ascii="宋体" w:hAnsi="宋体" w:cs="宋体"/>
          <w:sz w:val="24"/>
          <w:szCs w:val="24"/>
        </w:rPr>
      </w:pPr>
      <w:r>
        <w:rPr>
          <w:rFonts w:hint="eastAsia" w:ascii="宋体" w:hAnsi="宋体" w:cs="宋体"/>
          <w:sz w:val="24"/>
          <w:szCs w:val="24"/>
        </w:rPr>
        <w:t>日    期：</w:t>
      </w:r>
    </w:p>
    <w:p>
      <w:pPr>
        <w:spacing w:line="360" w:lineRule="auto"/>
        <w:rPr>
          <w:rFonts w:ascii="宋体" w:hAnsi="宋体" w:cs="宋体"/>
          <w:sz w:val="24"/>
          <w:szCs w:val="24"/>
        </w:rPr>
      </w:pPr>
    </w:p>
    <w:p>
      <w:pPr>
        <w:rPr>
          <w:rFonts w:ascii="宋体" w:hAnsi="宋体" w:cs="宋体"/>
          <w:sz w:val="32"/>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rPr>
      </w:pPr>
    </w:p>
    <w:p>
      <w:pPr>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t>格式3</w:t>
      </w:r>
    </w:p>
    <w:p>
      <w:pPr>
        <w:jc w:val="center"/>
        <w:rPr>
          <w:rFonts w:ascii="宋体" w:hAnsi="宋体" w:cs="宋体"/>
          <w:b/>
          <w:sz w:val="32"/>
          <w:szCs w:val="32"/>
        </w:rPr>
      </w:pPr>
    </w:p>
    <w:p>
      <w:pPr>
        <w:ind w:firstLine="3752" w:firstLineChars="1340"/>
        <w:rPr>
          <w:rFonts w:ascii="宋体" w:hAnsi="宋体" w:cs="宋体"/>
          <w:b/>
          <w:sz w:val="28"/>
        </w:rPr>
      </w:pPr>
      <w:r>
        <w:rPr>
          <w:rFonts w:hint="eastAsia" w:ascii="宋体" w:hAnsi="宋体" w:cs="宋体"/>
          <w:b/>
          <w:sz w:val="28"/>
        </w:rPr>
        <w:t>报价一览表</w:t>
      </w:r>
    </w:p>
    <w:tbl>
      <w:tblPr>
        <w:tblStyle w:val="11"/>
        <w:tblW w:w="9220" w:type="dxa"/>
        <w:tblInd w:w="93" w:type="dxa"/>
        <w:tblLayout w:type="fixed"/>
        <w:tblCellMar>
          <w:top w:w="0" w:type="dxa"/>
          <w:left w:w="108" w:type="dxa"/>
          <w:bottom w:w="0" w:type="dxa"/>
          <w:right w:w="108" w:type="dxa"/>
        </w:tblCellMar>
      </w:tblPr>
      <w:tblGrid>
        <w:gridCol w:w="819"/>
        <w:gridCol w:w="1354"/>
        <w:gridCol w:w="719"/>
        <w:gridCol w:w="2703"/>
        <w:gridCol w:w="3625"/>
      </w:tblGrid>
      <w:tr>
        <w:tblPrEx>
          <w:tblLayout w:type="fixed"/>
          <w:tblCellMar>
            <w:top w:w="0" w:type="dxa"/>
            <w:left w:w="108" w:type="dxa"/>
            <w:bottom w:w="0" w:type="dxa"/>
            <w:right w:w="108" w:type="dxa"/>
          </w:tblCellMar>
        </w:tblPrEx>
        <w:trPr>
          <w:trHeight w:val="984"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Layout w:type="fixed"/>
          <w:tblCellMar>
            <w:top w:w="0" w:type="dxa"/>
            <w:left w:w="108" w:type="dxa"/>
            <w:bottom w:w="0" w:type="dxa"/>
            <w:right w:w="108" w:type="dxa"/>
          </w:tblCellMar>
        </w:tblPrEx>
        <w:trPr>
          <w:trHeight w:val="960"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序号</w:t>
            </w:r>
          </w:p>
        </w:tc>
        <w:tc>
          <w:tcPr>
            <w:tcW w:w="4776"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Cs/>
                <w:kern w:val="0"/>
                <w:sz w:val="24"/>
              </w:rPr>
            </w:pPr>
            <w:r>
              <w:rPr>
                <w:rFonts w:hint="eastAsia" w:ascii="宋体" w:hAnsi="宋体" w:cs="宋体"/>
                <w:bCs/>
                <w:kern w:val="0"/>
                <w:sz w:val="24"/>
              </w:rPr>
              <w:t>服务内容</w:t>
            </w:r>
          </w:p>
        </w:tc>
        <w:tc>
          <w:tcPr>
            <w:tcW w:w="36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报价（万元）</w:t>
            </w:r>
          </w:p>
        </w:tc>
      </w:tr>
      <w:tr>
        <w:tblPrEx>
          <w:tblLayout w:type="fixed"/>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1</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2</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3</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Layout w:type="fixed"/>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Layout w:type="fixed"/>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总价</w:t>
            </w:r>
          </w:p>
        </w:tc>
        <w:tc>
          <w:tcPr>
            <w:tcW w:w="7047"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cs="宋体"/>
                <w:b/>
                <w:sz w:val="24"/>
              </w:rPr>
              <w:t>人民币大写：（人民币小写： ）</w:t>
            </w:r>
          </w:p>
        </w:tc>
      </w:tr>
    </w:tbl>
    <w:p>
      <w:pPr>
        <w:rPr>
          <w:rFonts w:ascii="宋体" w:hAnsi="宋体" w:cs="宋体"/>
          <w:sz w:val="32"/>
        </w:rPr>
      </w:pPr>
    </w:p>
    <w:p>
      <w:pPr>
        <w:adjustRightInd w:val="0"/>
        <w:spacing w:line="360" w:lineRule="auto"/>
        <w:ind w:firstLine="600" w:firstLineChars="250"/>
        <w:jc w:val="left"/>
        <w:rPr>
          <w:rFonts w:ascii="宋体" w:hAnsi="宋体" w:cs="宋体"/>
          <w:sz w:val="28"/>
          <w:szCs w:val="28"/>
        </w:rPr>
      </w:pPr>
      <w:r>
        <w:rPr>
          <w:rFonts w:hint="eastAsia" w:ascii="宋体" w:hAnsi="宋体" w:cs="宋体"/>
          <w:color w:val="000000"/>
          <w:sz w:val="24"/>
          <w:szCs w:val="24"/>
        </w:rPr>
        <w:t>供应商名称：（盖章）</w:t>
      </w:r>
    </w:p>
    <w:p>
      <w:pPr>
        <w:spacing w:line="360" w:lineRule="auto"/>
        <w:ind w:firstLine="616" w:firstLineChars="257"/>
        <w:rPr>
          <w:rFonts w:ascii="宋体" w:hAnsi="宋体" w:cs="宋体"/>
          <w:sz w:val="24"/>
          <w:szCs w:val="24"/>
        </w:rPr>
      </w:pPr>
      <w:r>
        <w:rPr>
          <w:rFonts w:hint="eastAsia" w:ascii="宋体" w:hAnsi="宋体" w:cs="宋体"/>
          <w:sz w:val="24"/>
          <w:szCs w:val="24"/>
        </w:rPr>
        <w:t>法定代表人授权代表（签字或盖章）</w:t>
      </w:r>
    </w:p>
    <w:p>
      <w:pPr>
        <w:spacing w:line="360" w:lineRule="auto"/>
        <w:ind w:firstLine="616" w:firstLineChars="257"/>
        <w:rPr>
          <w:rFonts w:ascii="宋体" w:hAnsi="宋体" w:cs="宋体"/>
          <w:sz w:val="24"/>
          <w:szCs w:val="24"/>
        </w:rPr>
      </w:pPr>
      <w:r>
        <w:rPr>
          <w:rFonts w:hint="eastAsia" w:ascii="宋体" w:hAnsi="宋体" w:cs="宋体"/>
          <w:sz w:val="24"/>
          <w:szCs w:val="24"/>
        </w:rPr>
        <w:t xml:space="preserve">日期： </w:t>
      </w:r>
    </w:p>
    <w:p>
      <w:pPr>
        <w:rPr>
          <w:rFonts w:ascii="宋体" w:hAnsi="宋体" w:cs="宋体"/>
          <w:b/>
          <w:bCs/>
          <w:sz w:val="36"/>
        </w:rPr>
      </w:pPr>
    </w:p>
    <w:p>
      <w:pPr>
        <w:rPr>
          <w:rFonts w:ascii="宋体" w:hAnsi="宋体" w:cs="宋体"/>
          <w:b/>
          <w:bCs/>
          <w:sz w:val="36"/>
        </w:rPr>
      </w:pPr>
    </w:p>
    <w:p>
      <w:pPr>
        <w:rPr>
          <w:rFonts w:ascii="宋体" w:hAnsi="宋体" w:cs="宋体"/>
          <w:b/>
          <w:bCs/>
          <w:sz w:val="36"/>
        </w:rPr>
      </w:pPr>
    </w:p>
    <w:p>
      <w:pPr>
        <w:rPr>
          <w:rFonts w:ascii="宋体" w:hAnsi="宋体" w:cs="宋体"/>
          <w:b/>
          <w:sz w:val="28"/>
        </w:rPr>
      </w:pPr>
    </w:p>
    <w:p>
      <w:pPr>
        <w:rPr>
          <w:rFonts w:ascii="宋体" w:hAnsi="宋体" w:cs="宋体"/>
          <w:b/>
          <w:sz w:val="28"/>
        </w:rPr>
      </w:pPr>
    </w:p>
    <w:p>
      <w:pPr>
        <w:rPr>
          <w:rFonts w:ascii="宋体" w:hAnsi="宋体" w:cs="宋体"/>
          <w:b/>
          <w:sz w:val="28"/>
        </w:rPr>
      </w:pPr>
    </w:p>
    <w:p>
      <w:pPr>
        <w:rPr>
          <w:rFonts w:ascii="宋体" w:hAnsi="宋体" w:cs="宋体"/>
          <w:b/>
          <w:sz w:val="28"/>
        </w:rPr>
      </w:pPr>
      <w:r>
        <w:rPr>
          <w:rFonts w:hint="eastAsia" w:ascii="宋体" w:hAnsi="宋体" w:cs="宋体"/>
          <w:b/>
          <w:sz w:val="28"/>
        </w:rPr>
        <w:t xml:space="preserve">格式4 </w:t>
      </w:r>
    </w:p>
    <w:p>
      <w:pPr>
        <w:jc w:val="center"/>
        <w:rPr>
          <w:rFonts w:ascii="宋体" w:hAnsi="宋体" w:cs="宋体"/>
          <w:b/>
          <w:sz w:val="32"/>
          <w:szCs w:val="32"/>
        </w:rPr>
      </w:pPr>
      <w:r>
        <w:rPr>
          <w:rFonts w:hint="eastAsia" w:ascii="宋体" w:hAnsi="宋体" w:cs="宋体"/>
          <w:b/>
          <w:sz w:val="32"/>
          <w:szCs w:val="32"/>
        </w:rPr>
        <w:t>承诺函</w:t>
      </w:r>
    </w:p>
    <w:p>
      <w:pPr>
        <w:spacing w:line="400" w:lineRule="exact"/>
        <w:rPr>
          <w:rFonts w:ascii="宋体" w:hAnsi="宋体" w:cs="宋体"/>
          <w:sz w:val="24"/>
          <w:szCs w:val="24"/>
        </w:rPr>
      </w:pPr>
      <w:r>
        <w:rPr>
          <w:rFonts w:hint="eastAsia" w:ascii="宋体" w:hAnsi="宋体" w:cs="宋体"/>
          <w:sz w:val="24"/>
          <w:szCs w:val="24"/>
        </w:rPr>
        <w:t>四川省应急管理厅（采购单位名称）：</w:t>
      </w:r>
    </w:p>
    <w:p>
      <w:pPr>
        <w:spacing w:line="400" w:lineRule="exact"/>
        <w:rPr>
          <w:rFonts w:ascii="宋体" w:hAnsi="宋体" w:cs="宋体"/>
          <w:sz w:val="28"/>
        </w:rPr>
      </w:pPr>
    </w:p>
    <w:p>
      <w:pPr>
        <w:spacing w:line="440" w:lineRule="exact"/>
        <w:ind w:firstLine="480" w:firstLineChars="200"/>
        <w:rPr>
          <w:rFonts w:ascii="宋体" w:hAnsi="宋体" w:cs="宋体"/>
          <w:sz w:val="24"/>
          <w:szCs w:val="24"/>
        </w:rPr>
      </w:pPr>
      <w:r>
        <w:rPr>
          <w:rFonts w:hint="eastAsia" w:ascii="宋体" w:hAnsi="宋体" w:cs="宋体"/>
          <w:sz w:val="24"/>
          <w:szCs w:val="24"/>
        </w:rPr>
        <w:t>一、我公司作为参加本次磋商的供应商，郑重承诺具备以下条件（《政府采购法》第二十二条）：</w:t>
      </w:r>
    </w:p>
    <w:p>
      <w:pPr>
        <w:spacing w:line="440" w:lineRule="exact"/>
        <w:ind w:firstLine="480" w:firstLineChars="200"/>
        <w:rPr>
          <w:rFonts w:ascii="宋体" w:hAnsi="宋体" w:cs="宋体"/>
          <w:sz w:val="24"/>
          <w:szCs w:val="24"/>
        </w:rPr>
      </w:pPr>
      <w:r>
        <w:rPr>
          <w:rFonts w:hint="eastAsia" w:ascii="宋体" w:hAnsi="宋体" w:cs="宋体"/>
          <w:sz w:val="24"/>
          <w:szCs w:val="24"/>
        </w:rPr>
        <w:t xml:space="preserve">（一）具有独立承担民事责任的能力； </w:t>
      </w:r>
    </w:p>
    <w:p>
      <w:pPr>
        <w:spacing w:line="440" w:lineRule="exact"/>
        <w:ind w:firstLine="480" w:firstLineChars="200"/>
        <w:rPr>
          <w:rFonts w:ascii="宋体" w:hAnsi="宋体" w:cs="宋体"/>
          <w:sz w:val="24"/>
          <w:szCs w:val="24"/>
        </w:rPr>
      </w:pPr>
      <w:r>
        <w:rPr>
          <w:rFonts w:hint="eastAsia" w:ascii="宋体" w:hAnsi="宋体" w:cs="宋体"/>
          <w:sz w:val="24"/>
          <w:szCs w:val="24"/>
        </w:rPr>
        <w:t xml:space="preserve">（二）具有良好的商业信誉和健全的财务会计制度； </w:t>
      </w:r>
    </w:p>
    <w:p>
      <w:pPr>
        <w:spacing w:line="440" w:lineRule="exact"/>
        <w:ind w:firstLine="480" w:firstLineChars="200"/>
        <w:rPr>
          <w:rFonts w:ascii="宋体" w:hAnsi="宋体" w:cs="宋体"/>
          <w:sz w:val="24"/>
          <w:szCs w:val="24"/>
        </w:rPr>
      </w:pPr>
      <w:r>
        <w:rPr>
          <w:rFonts w:hint="eastAsia" w:ascii="宋体" w:hAnsi="宋体" w:cs="宋体"/>
          <w:sz w:val="24"/>
          <w:szCs w:val="24"/>
        </w:rPr>
        <w:t xml:space="preserve">（三）具有履行合同所必需的设备和专业技术能力； </w:t>
      </w:r>
    </w:p>
    <w:p>
      <w:pPr>
        <w:spacing w:line="440" w:lineRule="exact"/>
        <w:ind w:firstLine="480" w:firstLineChars="200"/>
        <w:rPr>
          <w:rFonts w:ascii="宋体" w:hAnsi="宋体" w:cs="宋体"/>
          <w:sz w:val="24"/>
          <w:szCs w:val="24"/>
        </w:rPr>
      </w:pPr>
      <w:r>
        <w:rPr>
          <w:rFonts w:hint="eastAsia" w:ascii="宋体" w:hAnsi="宋体" w:cs="宋体"/>
          <w:sz w:val="24"/>
          <w:szCs w:val="24"/>
        </w:rPr>
        <w:t xml:space="preserve">（四）有依法缴纳税收和社会保障资金的良好记录； </w:t>
      </w:r>
    </w:p>
    <w:p>
      <w:pPr>
        <w:spacing w:line="440" w:lineRule="exact"/>
        <w:ind w:firstLine="480" w:firstLineChars="200"/>
        <w:rPr>
          <w:rFonts w:ascii="宋体" w:hAnsi="宋体" w:cs="宋体"/>
          <w:sz w:val="24"/>
          <w:szCs w:val="24"/>
        </w:rPr>
      </w:pPr>
      <w:r>
        <w:rPr>
          <w:rFonts w:hint="eastAsia" w:ascii="宋体" w:hAnsi="宋体" w:cs="宋体"/>
          <w:sz w:val="24"/>
          <w:szCs w:val="24"/>
        </w:rPr>
        <w:t>（五）参加采购活动前三年内，在经营活动中没有重大违法记录；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（六）法律、行政法规规定的其他条件。</w:t>
      </w:r>
    </w:p>
    <w:p>
      <w:pPr>
        <w:spacing w:line="440" w:lineRule="exact"/>
        <w:ind w:firstLine="480" w:firstLineChars="200"/>
        <w:rPr>
          <w:rFonts w:ascii="宋体" w:hAnsi="宋体" w:cs="宋体"/>
          <w:sz w:val="24"/>
          <w:szCs w:val="24"/>
        </w:rPr>
      </w:pPr>
      <w:r>
        <w:rPr>
          <w:rFonts w:hint="eastAsia" w:ascii="宋体" w:hAnsi="宋体" w:cs="宋体"/>
          <w:sz w:val="24"/>
          <w:szCs w:val="24"/>
        </w:rPr>
        <w:t>二、参加本次磋商采购活动，承诺不存在单位负责人为同一人或者存在直接控股、管理关系的不同供应商参与同一合同项下的政府采购活动的行为。</w:t>
      </w:r>
    </w:p>
    <w:p>
      <w:pPr>
        <w:spacing w:line="440" w:lineRule="exact"/>
        <w:ind w:firstLine="480" w:firstLineChars="200"/>
        <w:rPr>
          <w:rFonts w:ascii="宋体" w:hAnsi="宋体" w:cs="宋体"/>
          <w:sz w:val="24"/>
          <w:szCs w:val="24"/>
        </w:rPr>
      </w:pPr>
      <w:r>
        <w:rPr>
          <w:rFonts w:hint="eastAsia" w:ascii="宋体" w:hAnsi="宋体" w:cs="宋体"/>
          <w:sz w:val="24"/>
          <w:szCs w:val="24"/>
        </w:rPr>
        <w:t>三、参加本次磋商采购活动，承诺不存在2家以上的供应商在同一合同项下的采购项目中，同时委托同一个自然人、同一家庭的人员、同一单位的人员作为代理人的行为。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sz w:val="24"/>
          <w:szCs w:val="24"/>
        </w:rPr>
      </w:pPr>
      <w:r>
        <w:rPr>
          <w:rFonts w:hint="eastAsia" w:ascii="宋体" w:hAnsi="宋体" w:cs="宋体"/>
          <w:sz w:val="24"/>
          <w:szCs w:val="24"/>
        </w:rPr>
        <w:t>四、我公司（单位）承诺没有失信行为记入各级人民政府财政部门诚信档案。</w:t>
      </w:r>
    </w:p>
    <w:p>
      <w:pPr>
        <w:spacing w:line="440" w:lineRule="exact"/>
        <w:ind w:firstLine="480" w:firstLineChars="200"/>
        <w:rPr>
          <w:rFonts w:ascii="宋体" w:hAnsi="宋体" w:cs="宋体"/>
          <w:sz w:val="24"/>
          <w:szCs w:val="24"/>
        </w:rPr>
      </w:pPr>
      <w:r>
        <w:rPr>
          <w:rFonts w:hint="eastAsia" w:ascii="宋体" w:hAnsi="宋体" w:cs="宋体"/>
          <w:sz w:val="24"/>
          <w:szCs w:val="24"/>
        </w:rPr>
        <w:t>五、我公司（单位）、现任法定代表人、主要负责人均无行贿犯罪记录。</w:t>
      </w:r>
      <w:r>
        <w:rPr>
          <w:rFonts w:hint="eastAsia" w:ascii="宋体" w:hAnsi="宋体" w:cs="宋体"/>
          <w:sz w:val="24"/>
          <w:szCs w:val="24"/>
        </w:rPr>
        <w:br w:type="textWrapping"/>
      </w:r>
    </w:p>
    <w:p>
      <w:pPr>
        <w:spacing w:line="440" w:lineRule="exact"/>
        <w:ind w:firstLine="420" w:firstLineChars="150"/>
        <w:jc w:val="left"/>
        <w:rPr>
          <w:rFonts w:ascii="宋体" w:hAnsi="宋体" w:cs="宋体"/>
          <w:sz w:val="28"/>
          <w:szCs w:val="28"/>
        </w:rPr>
      </w:pPr>
      <w:r>
        <w:rPr>
          <w:rFonts w:hint="eastAsia" w:ascii="宋体" w:hAnsi="宋体" w:cs="宋体"/>
          <w:sz w:val="28"/>
          <w:szCs w:val="28"/>
        </w:rPr>
        <w:t>本公司（单位）对上述承诺的真实性负责。如有虚假，将依法承担相应责任。</w:t>
      </w:r>
    </w:p>
    <w:p>
      <w:pPr>
        <w:spacing w:line="440" w:lineRule="exact"/>
        <w:ind w:firstLine="200"/>
        <w:jc w:val="left"/>
        <w:rPr>
          <w:rFonts w:ascii="宋体" w:hAnsi="宋体" w:cs="宋体"/>
          <w:sz w:val="28"/>
        </w:rPr>
      </w:pPr>
    </w:p>
    <w:p>
      <w:pPr>
        <w:adjustRightInd w:val="0"/>
        <w:spacing w:line="4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adjustRightInd w:val="0"/>
        <w:spacing w:line="440" w:lineRule="exact"/>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40" w:lineRule="exact"/>
        <w:ind w:firstLine="480" w:firstLineChars="200"/>
        <w:jc w:val="left"/>
        <w:rPr>
          <w:rFonts w:ascii="宋体" w:hAnsi="宋体" w:cs="宋体"/>
          <w:bCs/>
          <w:sz w:val="24"/>
          <w:szCs w:val="24"/>
        </w:rPr>
      </w:pPr>
      <w:r>
        <w:rPr>
          <w:rFonts w:hint="eastAsia" w:ascii="宋体" w:hAnsi="宋体" w:cs="宋体"/>
          <w:bCs/>
          <w:sz w:val="24"/>
          <w:szCs w:val="24"/>
        </w:rPr>
        <w:t>日期:</w:t>
      </w:r>
    </w:p>
    <w:p>
      <w:pPr>
        <w:spacing w:line="440" w:lineRule="exact"/>
        <w:ind w:firstLine="480" w:firstLineChars="200"/>
        <w:jc w:val="left"/>
        <w:rPr>
          <w:rFonts w:ascii="宋体" w:hAnsi="宋体" w:cs="宋体"/>
          <w:sz w:val="24"/>
          <w:szCs w:val="24"/>
        </w:rPr>
      </w:pPr>
      <w:bookmarkStart w:id="74" w:name="OLE_LINK1"/>
      <w:bookmarkStart w:id="75" w:name="OLE_LINK2"/>
      <w:r>
        <w:rPr>
          <w:rFonts w:hint="eastAsia" w:ascii="宋体" w:hAnsi="宋体" w:cs="宋体"/>
          <w:b/>
          <w:sz w:val="24"/>
          <w:szCs w:val="24"/>
        </w:rPr>
        <w:t>备注</w:t>
      </w:r>
      <w:r>
        <w:rPr>
          <w:rFonts w:hint="eastAsia" w:ascii="宋体" w:hAnsi="宋体" w:cs="宋体"/>
          <w:sz w:val="24"/>
          <w:szCs w:val="24"/>
        </w:rPr>
        <w:t>：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spacing w:line="440" w:lineRule="exact"/>
        <w:ind w:firstLine="480" w:firstLineChars="200"/>
        <w:jc w:val="left"/>
        <w:rPr>
          <w:rFonts w:ascii="宋体" w:hAnsi="宋体" w:cs="宋体"/>
          <w:sz w:val="24"/>
        </w:rPr>
      </w:pPr>
      <w:r>
        <w:rPr>
          <w:rFonts w:hint="eastAsia" w:ascii="宋体" w:hAnsi="宋体" w:cs="宋体"/>
          <w:sz w:val="24"/>
        </w:rPr>
        <w:t>2、重大违法记录中的较大数额罚款的具体金额标准，以四川省人民政府规定的行政处罚罚款听证标准金额2万元执行。</w:t>
      </w:r>
    </w:p>
    <w:p>
      <w:pPr>
        <w:jc w:val="left"/>
        <w:rPr>
          <w:rFonts w:ascii="宋体" w:hAnsi="宋体" w:cs="宋体"/>
          <w:sz w:val="24"/>
          <w:szCs w:val="24"/>
        </w:rPr>
      </w:pPr>
    </w:p>
    <w:bookmarkEnd w:id="74"/>
    <w:bookmarkEnd w:id="75"/>
    <w:p>
      <w:pPr>
        <w:rPr>
          <w:rFonts w:ascii="宋体" w:hAnsi="宋体" w:cs="宋体"/>
          <w:b/>
          <w:bCs/>
          <w:sz w:val="32"/>
          <w:szCs w:val="32"/>
        </w:rPr>
      </w:pPr>
      <w:r>
        <w:rPr>
          <w:rFonts w:hint="eastAsia" w:ascii="宋体" w:hAnsi="宋体" w:cs="宋体"/>
          <w:b/>
          <w:bCs/>
          <w:sz w:val="28"/>
          <w:szCs w:val="28"/>
        </w:rPr>
        <w:t>格式5</w:t>
      </w:r>
    </w:p>
    <w:p>
      <w:pPr>
        <w:jc w:val="center"/>
        <w:rPr>
          <w:rFonts w:ascii="宋体" w:hAnsi="宋体" w:cs="宋体"/>
          <w:b/>
          <w:bCs/>
          <w:sz w:val="32"/>
          <w:szCs w:val="32"/>
        </w:rPr>
      </w:pPr>
      <w:r>
        <w:rPr>
          <w:rFonts w:hint="eastAsia" w:ascii="宋体" w:hAnsi="宋体" w:cs="宋体"/>
          <w:b/>
          <w:bCs/>
          <w:sz w:val="32"/>
          <w:szCs w:val="32"/>
        </w:rPr>
        <w:t>服务要求应答表</w:t>
      </w:r>
    </w:p>
    <w:p>
      <w:pPr>
        <w:pStyle w:val="8"/>
        <w:pBdr>
          <w:bottom w:val="none" w:color="auto" w:sz="0" w:space="0"/>
        </w:pBdr>
        <w:tabs>
          <w:tab w:val="clear" w:pos="4153"/>
          <w:tab w:val="clear" w:pos="8306"/>
        </w:tabs>
        <w:snapToGrid/>
        <w:jc w:val="both"/>
        <w:rPr>
          <w:rFonts w:ascii="宋体" w:hAnsi="宋体" w:cs="宋体"/>
          <w:sz w:val="24"/>
          <w:szCs w:val="24"/>
        </w:rPr>
      </w:pPr>
    </w:p>
    <w:p>
      <w:pPr>
        <w:pStyle w:val="8"/>
        <w:pBdr>
          <w:bottom w:val="none" w:color="auto" w:sz="0" w:space="0"/>
        </w:pBdr>
        <w:tabs>
          <w:tab w:val="clear" w:pos="4153"/>
          <w:tab w:val="clear" w:pos="8306"/>
        </w:tabs>
        <w:snapToGrid/>
        <w:ind w:firstLine="120" w:firstLineChars="50"/>
        <w:jc w:val="both"/>
        <w:rPr>
          <w:rFonts w:ascii="宋体" w:hAnsi="宋体" w:cs="宋体"/>
          <w:sz w:val="24"/>
          <w:szCs w:val="24"/>
        </w:rPr>
      </w:pPr>
      <w:r>
        <w:rPr>
          <w:rFonts w:hint="eastAsia" w:ascii="宋体" w:hAnsi="宋体" w:cs="宋体"/>
          <w:sz w:val="24"/>
          <w:szCs w:val="24"/>
        </w:rPr>
        <w:t xml:space="preserve">分包号： </w:t>
      </w:r>
    </w:p>
    <w:tbl>
      <w:tblPr>
        <w:tblStyle w:val="11"/>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bl>
    <w:p>
      <w:pPr>
        <w:ind w:firstLine="480" w:firstLineChars="200"/>
        <w:rPr>
          <w:rFonts w:ascii="宋体" w:hAnsi="宋体" w:cs="宋体"/>
          <w:b/>
          <w:sz w:val="24"/>
          <w:szCs w:val="24"/>
        </w:rPr>
      </w:pPr>
    </w:p>
    <w:p>
      <w:pPr>
        <w:ind w:firstLine="480" w:firstLineChars="200"/>
        <w:rPr>
          <w:rFonts w:ascii="宋体" w:hAnsi="宋体" w:cs="宋体"/>
          <w:b/>
          <w:sz w:val="24"/>
          <w:szCs w:val="24"/>
        </w:rPr>
      </w:pPr>
      <w:r>
        <w:rPr>
          <w:rFonts w:hint="eastAsia" w:ascii="宋体" w:hAnsi="宋体" w:cs="宋体"/>
          <w:sz w:val="24"/>
          <w:szCs w:val="24"/>
        </w:rPr>
        <w:t>注意：供应商必须根据磋商文件要求据实逐条填写，不得虚假响应，否则报价无效并按规定追究其相关责任。</w:t>
      </w:r>
    </w:p>
    <w:p>
      <w:pPr>
        <w:adjustRightInd w:val="0"/>
        <w:spacing w:line="400" w:lineRule="exact"/>
        <w:ind w:firstLine="480" w:firstLineChars="200"/>
        <w:jc w:val="left"/>
        <w:rPr>
          <w:rFonts w:ascii="宋体" w:hAnsi="宋体" w:cs="宋体"/>
          <w:color w:val="000000"/>
          <w:sz w:val="24"/>
          <w:szCs w:val="24"/>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bCs/>
          <w:sz w:val="24"/>
          <w:szCs w:val="24"/>
        </w:rPr>
        <w:t>日期:</w:t>
      </w:r>
    </w:p>
    <w:p>
      <w:pPr>
        <w:rPr>
          <w:rFonts w:ascii="宋体" w:hAnsi="宋体" w:cs="宋体"/>
        </w:rPr>
      </w:pPr>
    </w:p>
    <w:p>
      <w:pPr>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rPr>
          <w:rFonts w:ascii="宋体" w:hAnsi="宋体" w:cs="宋体"/>
          <w:b/>
          <w:bCs/>
          <w:sz w:val="36"/>
        </w:rPr>
      </w:pPr>
      <w:r>
        <w:rPr>
          <w:rFonts w:hint="eastAsia" w:ascii="宋体" w:hAnsi="宋体" w:cs="宋体"/>
          <w:b/>
          <w:bCs/>
          <w:sz w:val="28"/>
          <w:szCs w:val="28"/>
        </w:rPr>
        <w:t>格式6</w:t>
      </w:r>
    </w:p>
    <w:p>
      <w:pPr>
        <w:pStyle w:val="6"/>
        <w:tabs>
          <w:tab w:val="left" w:pos="0"/>
        </w:tabs>
        <w:ind w:firstLine="0"/>
        <w:jc w:val="center"/>
        <w:rPr>
          <w:rFonts w:ascii="宋体" w:hAnsi="宋体" w:cs="宋体"/>
          <w:b/>
        </w:rPr>
      </w:pPr>
      <w:r>
        <w:rPr>
          <w:rFonts w:hint="eastAsia" w:ascii="宋体" w:hAnsi="宋体" w:cs="宋体"/>
          <w:b/>
        </w:rPr>
        <w:t>商务条款偏离表</w:t>
      </w:r>
    </w:p>
    <w:p>
      <w:pPr>
        <w:pStyle w:val="8"/>
        <w:pBdr>
          <w:bottom w:val="none" w:color="auto" w:sz="0" w:space="0"/>
        </w:pBdr>
        <w:tabs>
          <w:tab w:val="clear" w:pos="4153"/>
          <w:tab w:val="clear" w:pos="8306"/>
        </w:tabs>
        <w:snapToGrid/>
        <w:jc w:val="both"/>
        <w:rPr>
          <w:rFonts w:ascii="宋体" w:hAnsi="宋体" w:cs="宋体"/>
          <w:sz w:val="28"/>
        </w:rPr>
      </w:pPr>
    </w:p>
    <w:p>
      <w:pPr>
        <w:pStyle w:val="8"/>
        <w:pBdr>
          <w:bottom w:val="none" w:color="auto" w:sz="0" w:space="0"/>
        </w:pBdr>
        <w:tabs>
          <w:tab w:val="clear" w:pos="4153"/>
          <w:tab w:val="clear" w:pos="8306"/>
        </w:tabs>
        <w:snapToGrid/>
        <w:jc w:val="both"/>
        <w:rPr>
          <w:rFonts w:ascii="宋体" w:hAnsi="宋体" w:cs="宋体"/>
          <w:sz w:val="28"/>
        </w:rPr>
      </w:pPr>
    </w:p>
    <w:p>
      <w:pPr>
        <w:pStyle w:val="8"/>
        <w:pBdr>
          <w:bottom w:val="none" w:color="auto" w:sz="0" w:space="0"/>
        </w:pBdr>
        <w:tabs>
          <w:tab w:val="clear" w:pos="4153"/>
          <w:tab w:val="clear" w:pos="8306"/>
        </w:tabs>
        <w:snapToGrid/>
        <w:ind w:firstLine="120" w:firstLineChars="50"/>
        <w:jc w:val="both"/>
        <w:rPr>
          <w:rFonts w:ascii="宋体" w:hAnsi="宋体" w:cs="宋体"/>
          <w:sz w:val="24"/>
          <w:szCs w:val="24"/>
        </w:rPr>
      </w:pPr>
      <w:r>
        <w:rPr>
          <w:rFonts w:hint="eastAsia" w:ascii="宋体" w:hAnsi="宋体" w:cs="宋体"/>
          <w:sz w:val="24"/>
          <w:szCs w:val="24"/>
        </w:rPr>
        <w:t xml:space="preserve">分包号： </w:t>
      </w:r>
    </w:p>
    <w:tbl>
      <w:tblPr>
        <w:tblStyle w:val="11"/>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bl>
    <w:p>
      <w:pPr>
        <w:ind w:firstLine="480" w:firstLineChars="200"/>
        <w:rPr>
          <w:rFonts w:ascii="宋体" w:hAnsi="宋体" w:cs="宋体"/>
          <w:b/>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注意：1.本表只填写报价文件中与磋商文件要求有偏离（包括正偏离及负偏离）的内容，报价文件中与磋商文件要求完全一致的内容，不用在此表中逐一列出；</w:t>
      </w:r>
    </w:p>
    <w:p>
      <w:pPr>
        <w:spacing w:line="360" w:lineRule="auto"/>
        <w:ind w:firstLine="480" w:firstLineChars="200"/>
        <w:rPr>
          <w:rFonts w:ascii="宋体" w:hAnsi="宋体" w:cs="宋体"/>
          <w:sz w:val="24"/>
          <w:szCs w:val="24"/>
        </w:rPr>
      </w:pPr>
      <w:r>
        <w:rPr>
          <w:rFonts w:hint="eastAsia" w:ascii="宋体" w:hAnsi="宋体" w:cs="宋体"/>
          <w:sz w:val="24"/>
          <w:szCs w:val="24"/>
        </w:rPr>
        <w:t>2．报价文件中与磋商文件要求有负偏离的内容必须在此表中列出，否则视为无效报价。供应商必须据实填写，不得虚假响应，否则报价无效并按规定追究其相关责任。</w:t>
      </w:r>
    </w:p>
    <w:p>
      <w:pPr>
        <w:ind w:firstLine="480" w:firstLineChars="200"/>
        <w:rPr>
          <w:rFonts w:ascii="宋体" w:hAnsi="宋体" w:cs="宋体"/>
          <w:b/>
          <w:sz w:val="24"/>
          <w:szCs w:val="24"/>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供应商人名称：（盖章）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bCs/>
          <w:sz w:val="24"/>
          <w:szCs w:val="24"/>
        </w:rPr>
        <w:t>日期:</w:t>
      </w: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rPr>
          <w:rFonts w:ascii="宋体" w:hAnsi="宋体" w:cs="宋体"/>
          <w:b/>
          <w:bCs/>
          <w:kern w:val="0"/>
          <w:sz w:val="28"/>
          <w:szCs w:val="28"/>
        </w:rPr>
      </w:pPr>
      <w:bookmarkStart w:id="76" w:name="_Toc217446089"/>
      <w:r>
        <w:rPr>
          <w:rFonts w:hint="eastAsia" w:ascii="宋体" w:hAnsi="宋体" w:cs="宋体"/>
          <w:b/>
          <w:bCs/>
          <w:kern w:val="0"/>
          <w:sz w:val="28"/>
          <w:szCs w:val="28"/>
        </w:rPr>
        <w:t>格式7</w:t>
      </w:r>
    </w:p>
    <w:p>
      <w:pPr>
        <w:jc w:val="center"/>
        <w:rPr>
          <w:rFonts w:ascii="宋体" w:hAnsi="宋体" w:cs="宋体"/>
          <w:b/>
          <w:bCs/>
          <w:color w:val="000000"/>
          <w:sz w:val="32"/>
          <w:szCs w:val="32"/>
        </w:rPr>
      </w:pPr>
      <w:r>
        <w:rPr>
          <w:rFonts w:hint="eastAsia" w:ascii="宋体" w:hAnsi="宋体" w:cs="宋体"/>
          <w:b/>
          <w:bCs/>
          <w:color w:val="000000"/>
          <w:sz w:val="32"/>
          <w:szCs w:val="32"/>
        </w:rPr>
        <w:t>项目业绩一览表</w:t>
      </w:r>
      <w:bookmarkEnd w:id="76"/>
    </w:p>
    <w:p>
      <w:pPr>
        <w:spacing w:line="400" w:lineRule="exact"/>
        <w:rPr>
          <w:rFonts w:ascii="宋体" w:hAnsi="宋体" w:cs="宋体"/>
          <w:color w:val="000000"/>
          <w:sz w:val="24"/>
        </w:rPr>
      </w:pPr>
    </w:p>
    <w:tbl>
      <w:tblPr>
        <w:tblStyle w:val="11"/>
        <w:tblW w:w="73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356"/>
        <w:gridCol w:w="9"/>
        <w:gridCol w:w="9"/>
        <w:gridCol w:w="1296"/>
        <w:gridCol w:w="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hAnsi="宋体" w:cs="宋体"/>
                <w:b/>
                <w:color w:val="000000"/>
              </w:rPr>
            </w:pPr>
            <w:r>
              <w:rPr>
                <w:rFonts w:hint="eastAsia" w:ascii="宋体" w:hAnsi="宋体" w:cs="宋体"/>
                <w:b/>
                <w:color w:val="000000"/>
              </w:rPr>
              <w:t>年份</w:t>
            </w:r>
          </w:p>
        </w:tc>
        <w:tc>
          <w:tcPr>
            <w:tcW w:w="1440" w:type="dxa"/>
            <w:vAlign w:val="center"/>
          </w:tcPr>
          <w:p>
            <w:pPr>
              <w:spacing w:line="400" w:lineRule="exact"/>
              <w:jc w:val="center"/>
              <w:rPr>
                <w:rFonts w:ascii="宋体" w:hAnsi="宋体" w:cs="宋体"/>
                <w:b/>
                <w:color w:val="000000"/>
              </w:rPr>
            </w:pPr>
            <w:r>
              <w:rPr>
                <w:rFonts w:hint="eastAsia" w:ascii="宋体" w:hAnsi="宋体" w:cs="宋体"/>
                <w:b/>
                <w:color w:val="000000"/>
              </w:rPr>
              <w:t>用户名称</w:t>
            </w:r>
          </w:p>
        </w:tc>
        <w:tc>
          <w:tcPr>
            <w:tcW w:w="1320" w:type="dxa"/>
            <w:vAlign w:val="center"/>
          </w:tcPr>
          <w:p>
            <w:pPr>
              <w:spacing w:line="400" w:lineRule="exact"/>
              <w:jc w:val="center"/>
              <w:rPr>
                <w:rFonts w:ascii="宋体" w:hAnsi="宋体" w:cs="宋体"/>
                <w:b/>
                <w:color w:val="000000"/>
              </w:rPr>
            </w:pPr>
            <w:r>
              <w:rPr>
                <w:rFonts w:hint="eastAsia" w:ascii="宋体" w:hAnsi="宋体" w:cs="宋体"/>
                <w:b/>
                <w:color w:val="000000"/>
              </w:rPr>
              <w:t>项目名称</w:t>
            </w:r>
          </w:p>
        </w:tc>
        <w:tc>
          <w:tcPr>
            <w:tcW w:w="1161" w:type="dxa"/>
            <w:vAlign w:val="center"/>
          </w:tcPr>
          <w:p>
            <w:pPr>
              <w:spacing w:line="400" w:lineRule="exact"/>
              <w:jc w:val="center"/>
              <w:rPr>
                <w:rFonts w:ascii="宋体" w:hAnsi="宋体" w:cs="宋体"/>
                <w:b/>
                <w:color w:val="000000"/>
              </w:rPr>
            </w:pPr>
            <w:r>
              <w:rPr>
                <w:rFonts w:hint="eastAsia" w:ascii="宋体" w:hAnsi="宋体" w:cs="宋体"/>
                <w:b/>
                <w:color w:val="000000"/>
              </w:rPr>
              <w:t>完成时间</w:t>
            </w:r>
          </w:p>
        </w:tc>
        <w:tc>
          <w:tcPr>
            <w:tcW w:w="1374" w:type="dxa"/>
            <w:gridSpan w:val="3"/>
            <w:tcBorders>
              <w:right w:val="single" w:color="auto" w:sz="4" w:space="0"/>
            </w:tcBorders>
            <w:vAlign w:val="center"/>
          </w:tcPr>
          <w:p>
            <w:pPr>
              <w:spacing w:line="400" w:lineRule="exact"/>
              <w:rPr>
                <w:rFonts w:ascii="宋体" w:hAnsi="宋体" w:cs="宋体"/>
                <w:b/>
                <w:color w:val="000000"/>
              </w:rPr>
            </w:pPr>
            <w:r>
              <w:rPr>
                <w:rFonts w:hint="eastAsia" w:ascii="宋体" w:hAnsi="宋体" w:cs="宋体"/>
                <w:b/>
                <w:color w:val="000000"/>
              </w:rPr>
              <w:t>完成项目质量</w:t>
            </w:r>
          </w:p>
        </w:tc>
        <w:tc>
          <w:tcPr>
            <w:tcW w:w="1305" w:type="dxa"/>
            <w:gridSpan w:val="2"/>
            <w:tcBorders>
              <w:left w:val="single" w:color="auto" w:sz="4" w:space="0"/>
            </w:tcBorders>
            <w:vAlign w:val="center"/>
          </w:tcPr>
          <w:p>
            <w:pPr>
              <w:spacing w:line="400" w:lineRule="exact"/>
              <w:rPr>
                <w:rFonts w:ascii="宋体" w:hAnsi="宋体" w:cs="宋体"/>
                <w:b/>
                <w:color w:val="000000"/>
              </w:rPr>
            </w:pPr>
            <w:r>
              <w:rPr>
                <w:rFonts w:hint="eastAsia" w:ascii="宋体" w:hAnsi="宋体" w:cs="宋体"/>
                <w:b/>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tcBorders>
              <w:right w:val="single" w:color="auto" w:sz="4" w:space="0"/>
            </w:tcBorders>
            <w:vAlign w:val="center"/>
          </w:tcPr>
          <w:p>
            <w:pPr>
              <w:spacing w:line="400" w:lineRule="exact"/>
              <w:jc w:val="center"/>
              <w:rPr>
                <w:rFonts w:ascii="宋体" w:hAnsi="宋体" w:cs="宋体"/>
                <w:color w:val="000000"/>
              </w:rPr>
            </w:pPr>
          </w:p>
        </w:tc>
        <w:tc>
          <w:tcPr>
            <w:tcW w:w="1320" w:type="dxa"/>
            <w:tcBorders>
              <w:left w:val="single" w:color="auto" w:sz="4" w:space="0"/>
            </w:tcBorders>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00" w:hRule="atLeast"/>
          <w:jc w:val="center"/>
        </w:trPr>
        <w:tc>
          <w:tcPr>
            <w:tcW w:w="720" w:type="dxa"/>
            <w:tcBorders>
              <w:right w:val="single" w:color="auto" w:sz="4" w:space="0"/>
            </w:tcBorders>
            <w:vAlign w:val="center"/>
          </w:tcPr>
          <w:p>
            <w:pPr>
              <w:spacing w:line="400" w:lineRule="exact"/>
              <w:rPr>
                <w:rFonts w:ascii="宋体" w:hAnsi="宋体" w:cs="宋体"/>
                <w:color w:val="000000"/>
              </w:rPr>
            </w:pPr>
          </w:p>
        </w:tc>
        <w:tc>
          <w:tcPr>
            <w:tcW w:w="1440"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20"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161"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65" w:type="dxa"/>
            <w:gridSpan w:val="2"/>
            <w:tcBorders>
              <w:left w:val="single" w:color="auto" w:sz="4" w:space="0"/>
              <w:right w:val="single" w:color="auto" w:sz="4" w:space="0"/>
            </w:tcBorders>
            <w:vAlign w:val="center"/>
          </w:tcPr>
          <w:p>
            <w:pPr>
              <w:spacing w:line="400" w:lineRule="exact"/>
              <w:rPr>
                <w:rFonts w:ascii="宋体" w:hAnsi="宋体" w:cs="宋体"/>
                <w:color w:val="000000"/>
              </w:rPr>
            </w:pPr>
          </w:p>
        </w:tc>
        <w:tc>
          <w:tcPr>
            <w:tcW w:w="1305" w:type="dxa"/>
            <w:gridSpan w:val="2"/>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spacing w:line="400" w:lineRule="exact"/>
              <w:rPr>
                <w:rFonts w:ascii="宋体" w:hAnsi="宋体" w:cs="宋体"/>
                <w:color w:val="000000"/>
              </w:rPr>
            </w:pPr>
          </w:p>
        </w:tc>
        <w:tc>
          <w:tcPr>
            <w:tcW w:w="1440" w:type="dxa"/>
            <w:vAlign w:val="center"/>
          </w:tcPr>
          <w:p>
            <w:pPr>
              <w:spacing w:line="400" w:lineRule="exact"/>
              <w:rPr>
                <w:rFonts w:ascii="宋体" w:hAnsi="宋体" w:cs="宋体"/>
                <w:color w:val="000000"/>
              </w:rPr>
            </w:pPr>
          </w:p>
        </w:tc>
        <w:tc>
          <w:tcPr>
            <w:tcW w:w="1320" w:type="dxa"/>
            <w:vAlign w:val="center"/>
          </w:tcPr>
          <w:p>
            <w:pPr>
              <w:spacing w:line="400" w:lineRule="exact"/>
              <w:rPr>
                <w:rFonts w:ascii="宋体" w:hAnsi="宋体" w:cs="宋体"/>
                <w:color w:val="000000"/>
              </w:rPr>
            </w:pPr>
          </w:p>
        </w:tc>
        <w:tc>
          <w:tcPr>
            <w:tcW w:w="1161" w:type="dxa"/>
            <w:vAlign w:val="center"/>
          </w:tcPr>
          <w:p>
            <w:pPr>
              <w:spacing w:line="400" w:lineRule="exact"/>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14" w:type="dxa"/>
            <w:gridSpan w:val="3"/>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宋体"/>
                <w:color w:val="000000"/>
              </w:rPr>
            </w:pPr>
          </w:p>
        </w:tc>
        <w:tc>
          <w:tcPr>
            <w:tcW w:w="1440" w:type="dxa"/>
            <w:tcBorders>
              <w:bottom w:val="single" w:color="auto" w:sz="4" w:space="0"/>
            </w:tcBorders>
            <w:vAlign w:val="center"/>
          </w:tcPr>
          <w:p>
            <w:pPr>
              <w:spacing w:line="400" w:lineRule="exact"/>
              <w:jc w:val="center"/>
              <w:rPr>
                <w:rFonts w:ascii="宋体" w:hAnsi="宋体" w:cs="宋体"/>
                <w:color w:val="000000"/>
              </w:rPr>
            </w:pPr>
          </w:p>
        </w:tc>
        <w:tc>
          <w:tcPr>
            <w:tcW w:w="1320" w:type="dxa"/>
            <w:tcBorders>
              <w:bottom w:val="single" w:color="auto" w:sz="4" w:space="0"/>
            </w:tcBorders>
            <w:vAlign w:val="center"/>
          </w:tcPr>
          <w:p>
            <w:pPr>
              <w:spacing w:line="400" w:lineRule="exact"/>
              <w:jc w:val="center"/>
              <w:rPr>
                <w:rFonts w:ascii="宋体" w:hAnsi="宋体" w:cs="宋体"/>
                <w:color w:val="000000"/>
              </w:rPr>
            </w:pPr>
          </w:p>
        </w:tc>
        <w:tc>
          <w:tcPr>
            <w:tcW w:w="1161" w:type="dxa"/>
            <w:tcBorders>
              <w:bottom w:val="single" w:color="auto" w:sz="4" w:space="0"/>
            </w:tcBorders>
            <w:vAlign w:val="center"/>
          </w:tcPr>
          <w:p>
            <w:pPr>
              <w:spacing w:line="400" w:lineRule="exact"/>
              <w:jc w:val="center"/>
              <w:rPr>
                <w:rFonts w:ascii="宋体" w:hAnsi="宋体" w:cs="宋体"/>
                <w:color w:val="000000"/>
              </w:rPr>
            </w:pPr>
          </w:p>
        </w:tc>
        <w:tc>
          <w:tcPr>
            <w:tcW w:w="135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9" w:type="dxa"/>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3"/>
            <w:tcBorders>
              <w:top w:val="single" w:color="auto" w:sz="4" w:space="0"/>
              <w:left w:val="single" w:color="auto" w:sz="4" w:space="0"/>
            </w:tcBorders>
            <w:vAlign w:val="center"/>
          </w:tcPr>
          <w:p>
            <w:pPr>
              <w:spacing w:line="400" w:lineRule="exact"/>
              <w:jc w:val="center"/>
              <w:rPr>
                <w:rFonts w:ascii="宋体" w:hAnsi="宋体" w:cs="宋体"/>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color w:val="000000"/>
          <w:sz w:val="24"/>
          <w:szCs w:val="24"/>
        </w:rPr>
      </w:pPr>
      <w:r>
        <w:rPr>
          <w:rFonts w:hint="eastAsia" w:ascii="宋体" w:hAnsi="宋体" w:cs="宋体"/>
          <w:color w:val="000000"/>
          <w:sz w:val="24"/>
          <w:szCs w:val="24"/>
        </w:rPr>
        <w:t>注：以上项目需提供有关书面证明材料。</w:t>
      </w:r>
    </w:p>
    <w:p>
      <w:pPr>
        <w:spacing w:line="400" w:lineRule="exact"/>
        <w:rPr>
          <w:rFonts w:ascii="宋体" w:hAnsi="宋体" w:cs="宋体"/>
          <w:color w:val="000000"/>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spacing w:line="480" w:lineRule="auto"/>
        <w:ind w:firstLine="480" w:firstLineChars="200"/>
        <w:rPr>
          <w:rFonts w:ascii="宋体" w:hAnsi="宋体" w:cs="宋体"/>
          <w:b/>
          <w:color w:val="000000"/>
          <w:sz w:val="24"/>
          <w:szCs w:val="24"/>
        </w:rPr>
      </w:pPr>
      <w:r>
        <w:rPr>
          <w:rFonts w:hint="eastAsia" w:ascii="宋体" w:hAnsi="宋体" w:cs="宋体"/>
          <w:bCs/>
          <w:sz w:val="24"/>
          <w:szCs w:val="24"/>
        </w:rPr>
        <w:t>日期:</w:t>
      </w:r>
    </w:p>
    <w:p>
      <w:pPr>
        <w:jc w:val="left"/>
        <w:rPr>
          <w:rFonts w:ascii="宋体" w:hAnsi="宋体" w:cs="宋体"/>
          <w:sz w:val="24"/>
        </w:rPr>
      </w:pPr>
    </w:p>
    <w:p>
      <w:pPr>
        <w:jc w:val="left"/>
        <w:rPr>
          <w:rFonts w:ascii="宋体" w:hAnsi="宋体" w:cs="宋体"/>
          <w:sz w:val="24"/>
        </w:rPr>
      </w:pPr>
    </w:p>
    <w:p>
      <w:pPr>
        <w:rPr>
          <w:rFonts w:ascii="宋体" w:hAnsi="宋体" w:cs="宋体"/>
          <w:b/>
          <w:sz w:val="32"/>
          <w:szCs w:val="32"/>
        </w:rPr>
      </w:pPr>
      <w:r>
        <w:rPr>
          <w:rFonts w:hint="eastAsia" w:ascii="宋体" w:hAnsi="宋体" w:cs="宋体"/>
          <w:b/>
          <w:sz w:val="32"/>
          <w:szCs w:val="32"/>
        </w:rPr>
        <w:t>格式8</w:t>
      </w:r>
    </w:p>
    <w:p>
      <w:pPr>
        <w:jc w:val="center"/>
        <w:rPr>
          <w:rFonts w:ascii="宋体" w:hAnsi="宋体" w:cs="宋体"/>
          <w:b/>
          <w:sz w:val="32"/>
          <w:szCs w:val="32"/>
        </w:rPr>
      </w:pPr>
      <w:bookmarkStart w:id="77" w:name="_Toc13814"/>
      <w:r>
        <w:rPr>
          <w:rFonts w:hint="eastAsia" w:ascii="宋体" w:hAnsi="宋体" w:cs="宋体"/>
          <w:b/>
          <w:sz w:val="32"/>
          <w:szCs w:val="32"/>
        </w:rPr>
        <w:t>针对本项目的服务团队主要人员表</w:t>
      </w:r>
    </w:p>
    <w:tbl>
      <w:tblPr>
        <w:tblStyle w:val="11"/>
        <w:tblW w:w="88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6"/>
        <w:gridCol w:w="956"/>
        <w:gridCol w:w="2340"/>
        <w:gridCol w:w="1516"/>
        <w:gridCol w:w="2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Align w:val="center"/>
          </w:tcPr>
          <w:p>
            <w:pPr>
              <w:spacing w:line="360" w:lineRule="auto"/>
              <w:jc w:val="center"/>
              <w:rPr>
                <w:rFonts w:ascii="宋体" w:hAnsi="宋体" w:cs="宋体"/>
                <w:sz w:val="24"/>
              </w:rPr>
            </w:pPr>
            <w:r>
              <w:rPr>
                <w:rFonts w:hint="eastAsia" w:ascii="宋体" w:hAnsi="宋体" w:cs="宋体"/>
                <w:sz w:val="24"/>
              </w:rPr>
              <w:t>项目</w:t>
            </w:r>
          </w:p>
        </w:tc>
        <w:tc>
          <w:tcPr>
            <w:tcW w:w="956" w:type="dxa"/>
            <w:vAlign w:val="center"/>
          </w:tcPr>
          <w:p>
            <w:pPr>
              <w:spacing w:line="360" w:lineRule="auto"/>
              <w:jc w:val="center"/>
              <w:rPr>
                <w:rFonts w:ascii="宋体" w:hAnsi="宋体" w:cs="宋体"/>
                <w:sz w:val="24"/>
              </w:rPr>
            </w:pPr>
            <w:r>
              <w:rPr>
                <w:rFonts w:hint="eastAsia" w:ascii="宋体" w:hAnsi="宋体" w:cs="宋体"/>
                <w:sz w:val="24"/>
              </w:rPr>
              <w:t>姓名</w:t>
            </w:r>
          </w:p>
        </w:tc>
        <w:tc>
          <w:tcPr>
            <w:tcW w:w="956" w:type="dxa"/>
            <w:vAlign w:val="center"/>
          </w:tcPr>
          <w:p>
            <w:pPr>
              <w:spacing w:line="360" w:lineRule="auto"/>
              <w:jc w:val="center"/>
              <w:rPr>
                <w:rFonts w:ascii="宋体" w:hAnsi="宋体" w:cs="宋体"/>
                <w:sz w:val="24"/>
              </w:rPr>
            </w:pPr>
            <w:r>
              <w:rPr>
                <w:rFonts w:hint="eastAsia" w:ascii="宋体" w:hAnsi="宋体" w:cs="宋体"/>
                <w:sz w:val="24"/>
              </w:rPr>
              <w:t>职位</w:t>
            </w:r>
          </w:p>
        </w:tc>
        <w:tc>
          <w:tcPr>
            <w:tcW w:w="2340" w:type="dxa"/>
            <w:vAlign w:val="center"/>
          </w:tcPr>
          <w:p>
            <w:pPr>
              <w:spacing w:line="360" w:lineRule="auto"/>
              <w:jc w:val="center"/>
              <w:rPr>
                <w:rFonts w:ascii="宋体" w:hAnsi="宋体" w:cs="宋体"/>
                <w:sz w:val="24"/>
              </w:rPr>
            </w:pPr>
            <w:r>
              <w:rPr>
                <w:rFonts w:hint="eastAsia" w:ascii="宋体" w:hAnsi="宋体" w:cs="宋体"/>
                <w:sz w:val="24"/>
              </w:rPr>
              <w:t>持何种资格证件</w:t>
            </w:r>
          </w:p>
        </w:tc>
        <w:tc>
          <w:tcPr>
            <w:tcW w:w="1516" w:type="dxa"/>
            <w:vAlign w:val="center"/>
          </w:tcPr>
          <w:p>
            <w:pPr>
              <w:spacing w:line="360" w:lineRule="auto"/>
              <w:jc w:val="center"/>
              <w:rPr>
                <w:rFonts w:ascii="宋体" w:hAnsi="宋体" w:cs="宋体"/>
                <w:sz w:val="24"/>
              </w:rPr>
            </w:pPr>
            <w:r>
              <w:rPr>
                <w:rFonts w:hint="eastAsia" w:ascii="宋体" w:hAnsi="宋体" w:cs="宋体"/>
                <w:sz w:val="24"/>
              </w:rPr>
              <w:t>发证时间</w:t>
            </w:r>
          </w:p>
        </w:tc>
        <w:tc>
          <w:tcPr>
            <w:tcW w:w="2264" w:type="dxa"/>
            <w:vAlign w:val="center"/>
          </w:tcPr>
          <w:p>
            <w:pPr>
              <w:spacing w:line="360" w:lineRule="auto"/>
              <w:jc w:val="center"/>
              <w:rPr>
                <w:rFonts w:ascii="宋体" w:hAnsi="宋体" w:cs="宋体"/>
                <w:sz w:val="24"/>
              </w:rPr>
            </w:pPr>
            <w:r>
              <w:rPr>
                <w:rFonts w:hint="eastAsia" w:ascii="宋体" w:hAnsi="宋体" w:cs="宋体"/>
                <w:sz w:val="24"/>
              </w:rPr>
              <w:t>从事本工作时间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Borders>
              <w:bottom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spacing w:line="360" w:lineRule="auto"/>
              <w:jc w:val="center"/>
              <w:rPr>
                <w:rFonts w:ascii="宋体" w:hAnsi="宋体" w:cs="宋体"/>
                <w:sz w:val="24"/>
              </w:rPr>
            </w:pPr>
          </w:p>
        </w:tc>
        <w:tc>
          <w:tcPr>
            <w:tcW w:w="956" w:type="dxa"/>
            <w:tcBorders>
              <w:top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Borders>
              <w:bottom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restart"/>
          </w:tcPr>
          <w:p>
            <w:pPr>
              <w:spacing w:line="360" w:lineRule="auto"/>
              <w:rPr>
                <w:rFonts w:ascii="宋体" w:hAnsi="宋体" w:cs="宋体"/>
                <w:sz w:val="24"/>
              </w:rPr>
            </w:pPr>
          </w:p>
        </w:tc>
        <w:tc>
          <w:tcPr>
            <w:tcW w:w="956" w:type="dxa"/>
            <w:tcBorders>
              <w:top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bl>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spacing w:line="480" w:lineRule="auto"/>
        <w:ind w:firstLine="480" w:firstLineChars="200"/>
        <w:rPr>
          <w:rFonts w:ascii="宋体" w:hAnsi="宋体" w:cs="宋体"/>
          <w:b/>
          <w:color w:val="000000"/>
          <w:sz w:val="24"/>
          <w:szCs w:val="24"/>
        </w:rPr>
      </w:pPr>
      <w:r>
        <w:rPr>
          <w:rFonts w:hint="eastAsia" w:ascii="宋体" w:hAnsi="宋体" w:cs="宋体"/>
          <w:bCs/>
          <w:sz w:val="24"/>
          <w:szCs w:val="24"/>
        </w:rPr>
        <w:t>日期:</w:t>
      </w:r>
    </w:p>
    <w:p>
      <w:pPr>
        <w:spacing w:line="360" w:lineRule="auto"/>
        <w:ind w:firstLine="560" w:firstLineChars="200"/>
        <w:rPr>
          <w:rFonts w:ascii="宋体" w:hAnsi="宋体" w:cs="宋体"/>
          <w:b/>
          <w:sz w:val="28"/>
          <w:szCs w:val="28"/>
        </w:rPr>
      </w:pPr>
      <w:r>
        <w:rPr>
          <w:rFonts w:hint="eastAsia" w:ascii="宋体" w:hAnsi="宋体" w:cs="宋体"/>
          <w:b/>
          <w:sz w:val="28"/>
          <w:szCs w:val="28"/>
        </w:rPr>
        <w:t>说明：1.在此表中填报拟用于本项目的主要服务人员的相关情况，并附人员的相关证明材料如服务人员所持资格证书等的复印件。2.除采购文件中要求必须提供的证明材料外，如未提供人员的相关证明材料可能会影响供应商的得分，但不影响响应文件的有效性。</w:t>
      </w:r>
    </w:p>
    <w:p>
      <w:pPr>
        <w:rPr>
          <w:rFonts w:ascii="宋体" w:hAnsi="宋体" w:cs="宋体"/>
          <w:b/>
          <w:sz w:val="32"/>
          <w:szCs w:val="32"/>
        </w:rPr>
      </w:pPr>
    </w:p>
    <w:bookmarkEnd w:id="77"/>
    <w:p>
      <w:pPr>
        <w:spacing w:line="400" w:lineRule="exact"/>
        <w:rPr>
          <w:rFonts w:ascii="宋体" w:hAnsi="宋体" w:cs="宋体"/>
          <w:sz w:val="28"/>
          <w:szCs w:val="28"/>
        </w:rPr>
      </w:pPr>
    </w:p>
    <w:p>
      <w:pPr>
        <w:rPr>
          <w:rFonts w:ascii="宋体" w:hAnsi="宋体" w:cs="宋体"/>
          <w:b/>
          <w:sz w:val="32"/>
          <w:szCs w:val="32"/>
        </w:rPr>
      </w:pPr>
      <w:bookmarkStart w:id="78" w:name="_Toc227721874"/>
      <w:r>
        <w:rPr>
          <w:rFonts w:hint="eastAsia" w:ascii="宋体" w:hAnsi="宋体" w:cs="宋体"/>
          <w:b/>
          <w:sz w:val="32"/>
          <w:szCs w:val="32"/>
        </w:rPr>
        <w:t>格式</w:t>
      </w:r>
      <w:bookmarkEnd w:id="78"/>
      <w:r>
        <w:rPr>
          <w:rFonts w:hint="eastAsia" w:ascii="宋体" w:hAnsi="宋体" w:cs="宋体"/>
          <w:b/>
          <w:sz w:val="32"/>
          <w:szCs w:val="32"/>
        </w:rPr>
        <w:t>9</w:t>
      </w:r>
    </w:p>
    <w:p>
      <w:pPr>
        <w:jc w:val="center"/>
        <w:rPr>
          <w:rFonts w:ascii="宋体" w:hAnsi="宋体" w:cs="宋体"/>
          <w:b/>
          <w:bCs/>
          <w:sz w:val="28"/>
          <w:szCs w:val="28"/>
        </w:rPr>
      </w:pPr>
      <w:r>
        <w:rPr>
          <w:rFonts w:hint="eastAsia" w:ascii="宋体" w:hAnsi="宋体" w:cs="宋体"/>
          <w:b/>
          <w:bCs/>
          <w:sz w:val="28"/>
          <w:szCs w:val="28"/>
        </w:rPr>
        <w:t>中小企业声明函</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本公司对上述声明的真实性负责。如有虚假，将依法承担相应责任。</w:t>
      </w:r>
    </w:p>
    <w:p>
      <w:pPr>
        <w:widowControl/>
        <w:spacing w:before="100" w:beforeAutospacing="1" w:after="100" w:afterAutospacing="1" w:line="432" w:lineRule="auto"/>
        <w:ind w:firstLine="480"/>
        <w:jc w:val="left"/>
        <w:rPr>
          <w:rFonts w:ascii="宋体" w:hAnsi="宋体" w:cs="宋体"/>
          <w:kern w:val="0"/>
          <w:sz w:val="24"/>
          <w:szCs w:val="24"/>
          <w:u w:val="single"/>
        </w:rPr>
      </w:pPr>
      <w:r>
        <w:rPr>
          <w:rFonts w:hint="eastAsia" w:ascii="宋体" w:hAnsi="宋体" w:cs="宋体"/>
          <w:kern w:val="0"/>
          <w:sz w:val="24"/>
          <w:szCs w:val="24"/>
        </w:rPr>
        <w:t>企业名称（盖章）：</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日 期：</w:t>
      </w:r>
    </w:p>
    <w:p>
      <w:pPr>
        <w:jc w:val="center"/>
        <w:rPr>
          <w:rFonts w:ascii="宋体" w:hAnsi="宋体" w:cs="宋体"/>
          <w:b/>
          <w:sz w:val="32"/>
          <w:szCs w:val="32"/>
        </w:rPr>
      </w:pPr>
    </w:p>
    <w:p>
      <w:pPr>
        <w:jc w:val="center"/>
        <w:rPr>
          <w:rFonts w:ascii="宋体" w:hAnsi="宋体" w:cs="宋体"/>
          <w:kern w:val="0"/>
          <w:sz w:val="24"/>
          <w:szCs w:val="24"/>
        </w:rPr>
      </w:pPr>
      <w:r>
        <w:rPr>
          <w:rFonts w:hint="eastAsia" w:ascii="宋体" w:hAnsi="宋体" w:cs="宋体"/>
          <w:kern w:val="0"/>
          <w:sz w:val="24"/>
          <w:szCs w:val="24"/>
        </w:rPr>
        <w:t>注：提供虚假《中小企业声明函》的，以提供虚假材料谋取中标、成交予以认定处理。</w:t>
      </w:r>
    </w:p>
    <w:p>
      <w:pPr>
        <w:jc w:val="center"/>
        <w:rPr>
          <w:rFonts w:ascii="宋体" w:hAnsi="宋体" w:cs="宋体"/>
          <w:kern w:val="0"/>
          <w:sz w:val="24"/>
          <w:szCs w:val="24"/>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t>格式10</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本单位郑重声明，根据《财政部 民政部 中国残疾人联合会关于促进残疾人就业政府采购政策的通知》（财库</w:t>
      </w:r>
      <w:r>
        <w:rPr>
          <w:rFonts w:hint="eastAsia" w:ascii="宋体" w:hAnsi="宋体" w:cs="宋体"/>
          <w:sz w:val="32"/>
          <w:szCs w:val="32"/>
        </w:rPr>
        <w:t>〔2017〕 141</w:t>
      </w:r>
      <w:r>
        <w:rPr>
          <w:rFonts w:hint="eastAsia" w:ascii="宋体" w:hAnsi="宋体" w:cs="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本单位对上述声明的真实性负责。如有虚假，将依法承担相应责任。</w:t>
      </w:r>
    </w:p>
    <w:p>
      <w:pPr>
        <w:spacing w:line="588" w:lineRule="exact"/>
        <w:rPr>
          <w:rFonts w:ascii="宋体" w:hAnsi="宋体" w:cs="宋体"/>
          <w:spacing w:val="6"/>
          <w:sz w:val="30"/>
          <w:szCs w:val="30"/>
        </w:rPr>
      </w:pPr>
    </w:p>
    <w:p>
      <w:pPr>
        <w:tabs>
          <w:tab w:val="left" w:pos="4860"/>
        </w:tabs>
        <w:spacing w:line="588" w:lineRule="exact"/>
        <w:ind w:right="1560" w:firstLine="624" w:firstLineChars="200"/>
        <w:jc w:val="center"/>
        <w:rPr>
          <w:rFonts w:ascii="宋体" w:hAnsi="宋体" w:cs="宋体"/>
          <w:spacing w:val="6"/>
          <w:sz w:val="30"/>
          <w:szCs w:val="30"/>
        </w:rPr>
      </w:pPr>
      <w:r>
        <w:rPr>
          <w:rFonts w:hint="eastAsia" w:ascii="宋体" w:hAnsi="宋体" w:cs="宋体"/>
          <w:spacing w:val="6"/>
          <w:sz w:val="30"/>
          <w:szCs w:val="30"/>
        </w:rPr>
        <w:t xml:space="preserve">                    单位名称（盖章）：</w:t>
      </w:r>
    </w:p>
    <w:p>
      <w:pPr>
        <w:tabs>
          <w:tab w:val="left" w:pos="4860"/>
        </w:tabs>
        <w:spacing w:line="588" w:lineRule="exact"/>
        <w:ind w:right="1560" w:firstLine="624" w:firstLineChars="200"/>
        <w:jc w:val="center"/>
        <w:rPr>
          <w:rFonts w:ascii="宋体" w:hAnsi="宋体" w:cs="宋体"/>
          <w:spacing w:val="6"/>
          <w:sz w:val="30"/>
          <w:szCs w:val="30"/>
        </w:rPr>
      </w:pPr>
      <w:r>
        <w:rPr>
          <w:rFonts w:hint="eastAsia" w:ascii="宋体" w:hAnsi="宋体" w:cs="宋体"/>
          <w:spacing w:val="6"/>
          <w:sz w:val="30"/>
          <w:szCs w:val="30"/>
        </w:rPr>
        <w:t xml:space="preserve">                    日  期：</w:t>
      </w:r>
    </w:p>
    <w:p>
      <w:pPr>
        <w:tabs>
          <w:tab w:val="left" w:pos="4860"/>
        </w:tabs>
        <w:spacing w:line="588" w:lineRule="exact"/>
        <w:ind w:right="1560" w:firstLine="624" w:firstLineChars="200"/>
        <w:jc w:val="center"/>
        <w:rPr>
          <w:rFonts w:ascii="宋体" w:hAnsi="宋体" w:cs="宋体"/>
          <w:spacing w:val="6"/>
          <w:sz w:val="30"/>
          <w:szCs w:val="30"/>
        </w:rPr>
      </w:pPr>
    </w:p>
    <w:p>
      <w:pPr>
        <w:tabs>
          <w:tab w:val="left" w:pos="4860"/>
        </w:tabs>
        <w:spacing w:line="588" w:lineRule="exact"/>
        <w:ind w:right="1560" w:firstLine="624" w:firstLineChars="200"/>
        <w:jc w:val="center"/>
        <w:rPr>
          <w:rFonts w:ascii="宋体" w:hAnsi="宋体" w:cs="宋体"/>
          <w:spacing w:val="6"/>
          <w:sz w:val="30"/>
          <w:szCs w:val="30"/>
        </w:rPr>
      </w:pPr>
    </w:p>
    <w:p>
      <w:pPr>
        <w:tabs>
          <w:tab w:val="left" w:pos="4860"/>
        </w:tabs>
        <w:spacing w:line="588" w:lineRule="exact"/>
        <w:ind w:right="84" w:firstLine="624" w:firstLineChars="200"/>
        <w:jc w:val="left"/>
        <w:rPr>
          <w:rFonts w:ascii="宋体" w:hAnsi="宋体" w:cs="宋体"/>
          <w:spacing w:val="6"/>
          <w:sz w:val="30"/>
          <w:szCs w:val="30"/>
        </w:rPr>
      </w:pPr>
      <w:r>
        <w:rPr>
          <w:rFonts w:hint="eastAsia" w:ascii="宋体" w:hAnsi="宋体" w:cs="宋体"/>
          <w:spacing w:val="6"/>
          <w:sz w:val="30"/>
          <w:szCs w:val="30"/>
        </w:rPr>
        <w:t>注：</w:t>
      </w:r>
      <w:r>
        <w:rPr>
          <w:rFonts w:hint="eastAsia" w:ascii="宋体" w:hAnsi="宋体" w:cs="宋体"/>
          <w:color w:val="000000"/>
          <w:sz w:val="29"/>
          <w:szCs w:val="29"/>
        </w:rPr>
        <w:t>供应商提供的《残疾人福利性单位声明函》与事实不符的，依照《政府采购法》第七十七条第一款的规定追究法律责任。</w:t>
      </w:r>
    </w:p>
    <w:p>
      <w:pPr>
        <w:widowControl/>
        <w:rPr>
          <w:rFonts w:ascii="宋体" w:hAnsi="宋体" w:cs="宋体"/>
          <w:b/>
          <w:sz w:val="32"/>
          <w:szCs w:val="32"/>
        </w:rPr>
      </w:pPr>
    </w:p>
    <w:p>
      <w:pPr>
        <w:widowControl/>
        <w:rPr>
          <w:rFonts w:ascii="宋体" w:hAnsi="宋体" w:cs="宋体"/>
          <w:b/>
          <w:sz w:val="32"/>
          <w:szCs w:val="32"/>
        </w:rPr>
      </w:pPr>
    </w:p>
    <w:p>
      <w:pPr>
        <w:widowControl/>
        <w:rPr>
          <w:rFonts w:ascii="宋体" w:hAnsi="宋体" w:cs="宋体"/>
          <w:b/>
          <w:sz w:val="32"/>
          <w:szCs w:val="32"/>
        </w:rPr>
      </w:pPr>
    </w:p>
    <w:p>
      <w:pPr>
        <w:widowControl/>
        <w:rPr>
          <w:rFonts w:ascii="宋体" w:hAnsi="宋体" w:cs="宋体"/>
          <w:b/>
          <w:sz w:val="32"/>
          <w:szCs w:val="32"/>
        </w:rPr>
      </w:pPr>
    </w:p>
    <w:p>
      <w:bookmarkStart w:id="79" w:name="_Toc6521"/>
    </w:p>
    <w:p>
      <w:pPr>
        <w:pStyle w:val="2"/>
        <w:rPr>
          <w:rFonts w:ascii="宋体" w:hAnsi="宋体" w:eastAsia="宋体" w:cs="宋体"/>
        </w:rPr>
      </w:pPr>
      <w:bookmarkStart w:id="80" w:name="_Toc16718"/>
      <w:bookmarkStart w:id="81" w:name="_Toc31316"/>
    </w:p>
    <w:p>
      <w:pPr>
        <w:pStyle w:val="2"/>
        <w:rPr>
          <w:rFonts w:ascii="宋体" w:hAnsi="宋体" w:eastAsia="宋体" w:cs="宋体"/>
        </w:rPr>
      </w:pPr>
      <w:r>
        <w:rPr>
          <w:rFonts w:hint="eastAsia" w:ascii="宋体" w:hAnsi="宋体" w:eastAsia="宋体" w:cs="宋体"/>
        </w:rPr>
        <w:t>十二、合同主要条款</w:t>
      </w:r>
      <w:bookmarkEnd w:id="79"/>
      <w:r>
        <w:rPr>
          <w:rFonts w:hint="eastAsia" w:ascii="宋体" w:hAnsi="宋体" w:eastAsia="宋体" w:cs="宋体"/>
        </w:rPr>
        <w:t>（草案）</w:t>
      </w:r>
      <w:bookmarkEnd w:id="80"/>
      <w:bookmarkEnd w:id="81"/>
    </w:p>
    <w:p>
      <w:pPr>
        <w:spacing w:line="360" w:lineRule="auto"/>
        <w:ind w:firstLine="540" w:firstLineChars="225"/>
        <w:rPr>
          <w:rFonts w:ascii="宋体" w:hAnsi="宋体" w:cs="宋体"/>
          <w:sz w:val="24"/>
          <w:szCs w:val="24"/>
        </w:rPr>
      </w:pPr>
      <w:r>
        <w:rPr>
          <w:rFonts w:hint="eastAsia" w:ascii="宋体" w:hAnsi="宋体" w:cs="宋体"/>
          <w:sz w:val="24"/>
          <w:szCs w:val="24"/>
        </w:rPr>
        <w:t>1. 采购人与成交供应商应当在成交通知书发出之日起30日内，依据采购文件、响应文件以及评审、商定过程中确定的事项签订政府采购合同。</w:t>
      </w:r>
    </w:p>
    <w:p>
      <w:pPr>
        <w:spacing w:line="360" w:lineRule="auto"/>
        <w:ind w:firstLine="566" w:firstLineChars="236"/>
        <w:rPr>
          <w:rFonts w:ascii="宋体" w:hAnsi="宋体" w:cs="宋体"/>
          <w:sz w:val="24"/>
          <w:szCs w:val="24"/>
        </w:rPr>
      </w:pPr>
      <w:r>
        <w:rPr>
          <w:rFonts w:hint="eastAsia" w:ascii="宋体" w:hAnsi="宋体" w:cs="宋体"/>
          <w:sz w:val="24"/>
          <w:szCs w:val="24"/>
        </w:rPr>
        <w:t>2. 采购人应当自采购合同签订之日起2个工作日内，将政府采购合同在在四川应急管理厅官网上公告，但采购合同中涉及国家秘密、商业秘密的内容除外。</w:t>
      </w:r>
    </w:p>
    <w:p>
      <w:pPr>
        <w:ind w:firstLine="566" w:firstLineChars="236"/>
        <w:rPr>
          <w:rFonts w:ascii="宋体" w:hAnsi="宋体" w:cs="宋体"/>
          <w:sz w:val="24"/>
          <w:szCs w:val="24"/>
        </w:rPr>
      </w:pPr>
      <w:r>
        <w:rPr>
          <w:rFonts w:hint="eastAsia" w:ascii="宋体" w:hAnsi="宋体" w:cs="宋体"/>
          <w:sz w:val="24"/>
          <w:szCs w:val="24"/>
        </w:rPr>
        <w:t>3.  合同主要条款</w:t>
      </w:r>
    </w:p>
    <w:p>
      <w:pPr>
        <w:spacing w:line="400" w:lineRule="exact"/>
        <w:rPr>
          <w:rFonts w:ascii="宋体" w:hAnsi="宋体" w:cs="宋体"/>
        </w:rPr>
      </w:pPr>
    </w:p>
    <w:p>
      <w:pPr>
        <w:pStyle w:val="17"/>
        <w:ind w:firstLine="480"/>
        <w:rPr>
          <w:rFonts w:ascii="宋体" w:hAnsi="宋体"/>
        </w:rPr>
      </w:pPr>
      <w:r>
        <w:rPr>
          <w:rFonts w:hint="eastAsia" w:ascii="宋体" w:hAnsi="宋体"/>
        </w:rPr>
        <w:t xml:space="preserve">合同编号：                                         </w:t>
      </w:r>
    </w:p>
    <w:p>
      <w:pPr>
        <w:pStyle w:val="17"/>
        <w:ind w:firstLine="480"/>
        <w:rPr>
          <w:rFonts w:ascii="宋体" w:hAnsi="宋体"/>
        </w:rPr>
      </w:pPr>
      <w:r>
        <w:rPr>
          <w:rFonts w:hint="eastAsia" w:ascii="宋体" w:hAnsi="宋体"/>
        </w:rPr>
        <w:t xml:space="preserve">签订地点：                                         </w:t>
      </w:r>
    </w:p>
    <w:p>
      <w:pPr>
        <w:pStyle w:val="17"/>
        <w:ind w:firstLine="480"/>
        <w:rPr>
          <w:rFonts w:ascii="宋体" w:hAnsi="宋体"/>
        </w:rPr>
      </w:pPr>
      <w:r>
        <w:rPr>
          <w:rFonts w:hint="eastAsia" w:ascii="宋体" w:hAnsi="宋体"/>
        </w:rPr>
        <w:t xml:space="preserve">签订时间：                                         </w:t>
      </w:r>
    </w:p>
    <w:p>
      <w:pPr>
        <w:pStyle w:val="17"/>
        <w:ind w:firstLine="480"/>
        <w:rPr>
          <w:rFonts w:ascii="宋体" w:hAnsi="宋体"/>
        </w:rPr>
      </w:pPr>
      <w:r>
        <w:rPr>
          <w:rFonts w:hint="eastAsia" w:ascii="宋体" w:hAnsi="宋体"/>
        </w:rPr>
        <w:t xml:space="preserve">采购人（甲方，盖章）：                                          </w:t>
      </w:r>
    </w:p>
    <w:p>
      <w:pPr>
        <w:pStyle w:val="17"/>
        <w:ind w:firstLine="480"/>
        <w:rPr>
          <w:rFonts w:ascii="宋体" w:hAnsi="宋体"/>
        </w:rPr>
      </w:pPr>
      <w:r>
        <w:rPr>
          <w:rFonts w:hint="eastAsia" w:ascii="宋体" w:hAnsi="宋体"/>
        </w:rPr>
        <w:t xml:space="preserve">供应商（乙方，盖章）：                                          </w:t>
      </w:r>
    </w:p>
    <w:p>
      <w:pPr>
        <w:spacing w:line="400" w:lineRule="exact"/>
        <w:rPr>
          <w:rFonts w:ascii="宋体" w:hAnsi="宋体" w:cs="宋体"/>
          <w:sz w:val="24"/>
          <w:szCs w:val="24"/>
        </w:rPr>
      </w:pPr>
    </w:p>
    <w:p>
      <w:pPr>
        <w:pStyle w:val="17"/>
        <w:ind w:firstLine="480"/>
        <w:rPr>
          <w:rFonts w:ascii="宋体" w:hAnsi="宋体"/>
        </w:rPr>
      </w:pPr>
      <w:r>
        <w:rPr>
          <w:rFonts w:hint="eastAsia" w:ascii="宋体" w:hAnsi="宋体"/>
        </w:rPr>
        <w:t>根据《中华人民共和国政府采购法》、《中华人民共和国合同法》及</w:t>
      </w:r>
      <w:r>
        <w:rPr>
          <w:rFonts w:hint="eastAsia" w:ascii="宋体" w:hAnsi="宋体"/>
          <w:color w:val="000000"/>
          <w:szCs w:val="21"/>
        </w:rPr>
        <w:t>四川省应急管理厅</w:t>
      </w:r>
      <w:r>
        <w:rPr>
          <w:rFonts w:hint="eastAsia" w:ascii="宋体" w:hAnsi="宋体"/>
        </w:rPr>
        <w:t xml:space="preserve">采购项目（项目编号：  </w:t>
      </w:r>
      <w:r>
        <w:rPr>
          <w:rFonts w:hint="eastAsia" w:ascii="宋体" w:hAnsi="宋体"/>
          <w:color w:val="000000"/>
          <w:szCs w:val="21"/>
        </w:rPr>
        <w:t>号</w:t>
      </w:r>
      <w:r>
        <w:rPr>
          <w:rFonts w:hint="eastAsia" w:ascii="宋体" w:hAnsi="宋体"/>
        </w:rPr>
        <w:t>）的《磋商文件》、乙方的《响应文件》及《成交通知书》，甲、乙双方同意签订本合同。详细技术说明及其他有关合同项目的特定信息由合同附件予以说明，合同附件及本项目的采购文件、报价文件、《成交通知书》等均为本合同不可分割的部分。双方同意共同遵守如下条款：</w:t>
      </w:r>
    </w:p>
    <w:p>
      <w:pPr>
        <w:numPr>
          <w:ilvl w:val="0"/>
          <w:numId w:val="3"/>
        </w:numPr>
        <w:spacing w:line="360" w:lineRule="auto"/>
        <w:rPr>
          <w:rFonts w:ascii="宋体" w:hAnsi="宋体" w:cs="宋体"/>
          <w:b/>
          <w:sz w:val="24"/>
        </w:rPr>
      </w:pPr>
      <w:r>
        <w:rPr>
          <w:rFonts w:hint="eastAsia" w:ascii="宋体" w:hAnsi="宋体" w:cs="宋体"/>
          <w:b/>
          <w:sz w:val="24"/>
        </w:rPr>
        <w:t>项目基本情况</w:t>
      </w:r>
    </w:p>
    <w:p>
      <w:pPr>
        <w:spacing w:line="360" w:lineRule="auto"/>
        <w:ind w:firstLine="630"/>
        <w:rPr>
          <w:rFonts w:ascii="宋体" w:hAnsi="宋体" w:cs="宋体"/>
          <w:b/>
          <w:sz w:val="24"/>
        </w:rPr>
      </w:pPr>
    </w:p>
    <w:p>
      <w:pPr>
        <w:numPr>
          <w:ilvl w:val="0"/>
          <w:numId w:val="3"/>
        </w:numPr>
        <w:spacing w:line="360" w:lineRule="auto"/>
        <w:rPr>
          <w:rFonts w:ascii="宋体" w:hAnsi="宋体" w:cs="宋体"/>
          <w:b/>
          <w:sz w:val="24"/>
        </w:rPr>
      </w:pPr>
      <w:r>
        <w:rPr>
          <w:rFonts w:hint="eastAsia" w:ascii="宋体" w:hAnsi="宋体" w:cs="宋体"/>
          <w:b/>
          <w:sz w:val="24"/>
        </w:rPr>
        <w:t>合同期限</w:t>
      </w:r>
    </w:p>
    <w:p>
      <w:pPr>
        <w:spacing w:line="360" w:lineRule="auto"/>
        <w:ind w:firstLine="480" w:firstLineChars="200"/>
        <w:rPr>
          <w:rFonts w:ascii="宋体" w:hAnsi="宋体" w:cs="宋体"/>
          <w:sz w:val="24"/>
        </w:rPr>
      </w:pPr>
    </w:p>
    <w:p>
      <w:pPr>
        <w:numPr>
          <w:ilvl w:val="0"/>
          <w:numId w:val="3"/>
        </w:numPr>
        <w:spacing w:line="360" w:lineRule="auto"/>
        <w:rPr>
          <w:rFonts w:ascii="宋体" w:hAnsi="宋体" w:cs="宋体"/>
          <w:b/>
          <w:sz w:val="24"/>
        </w:rPr>
      </w:pPr>
      <w:bookmarkStart w:id="82" w:name="_Toc225244852"/>
      <w:bookmarkStart w:id="83" w:name="_Toc239233914"/>
      <w:bookmarkStart w:id="84" w:name="_Toc282696226"/>
      <w:bookmarkStart w:id="85" w:name="_Toc251768862"/>
      <w:bookmarkStart w:id="86" w:name="_Toc232492928"/>
      <w:bookmarkStart w:id="87" w:name="_Toc211911348"/>
      <w:bookmarkStart w:id="88" w:name="_Toc241833903"/>
      <w:bookmarkStart w:id="89" w:name="_Toc239568418"/>
      <w:bookmarkStart w:id="90" w:name="_Toc212019594"/>
      <w:bookmarkStart w:id="91" w:name="_Toc247334841"/>
      <w:bookmarkStart w:id="92" w:name="_Toc283019214"/>
      <w:bookmarkStart w:id="93" w:name="_Toc286993786"/>
      <w:bookmarkStart w:id="94" w:name="_Toc225654644"/>
      <w:bookmarkStart w:id="95" w:name="_Toc225670751"/>
      <w:bookmarkStart w:id="96" w:name="_Toc238984975"/>
      <w:bookmarkStart w:id="97" w:name="_Toc185395249"/>
      <w:bookmarkStart w:id="98" w:name="_Toc211854449"/>
      <w:bookmarkStart w:id="99" w:name="_Toc237145406"/>
      <w:r>
        <w:rPr>
          <w:rFonts w:hint="eastAsia" w:ascii="宋体" w:hAnsi="宋体" w:cs="宋体"/>
          <w:b/>
          <w:sz w:val="24"/>
        </w:rPr>
        <w:t>服务内容与质量标准</w:t>
      </w:r>
    </w:p>
    <w:p>
      <w:pPr>
        <w:spacing w:line="360" w:lineRule="auto"/>
        <w:ind w:left="567"/>
        <w:rPr>
          <w:rFonts w:ascii="宋体" w:hAnsi="宋体" w:cs="宋体"/>
          <w:sz w:val="24"/>
        </w:rPr>
      </w:pPr>
      <w:r>
        <w:rPr>
          <w:rFonts w:hint="eastAsia" w:ascii="宋体" w:hAnsi="宋体" w:cs="宋体"/>
          <w:sz w:val="24"/>
        </w:rPr>
        <w:t>1、</w:t>
      </w:r>
      <w:r>
        <w:rPr>
          <w:rFonts w:hint="eastAsia" w:ascii="宋体" w:hAnsi="宋体" w:cs="宋体"/>
          <w:szCs w:val="21"/>
        </w:rPr>
        <w:t>XXXX；</w:t>
      </w:r>
    </w:p>
    <w:p>
      <w:pPr>
        <w:spacing w:line="360" w:lineRule="auto"/>
        <w:ind w:left="567"/>
        <w:rPr>
          <w:rFonts w:ascii="宋体" w:hAnsi="宋体" w:cs="宋体"/>
          <w:sz w:val="24"/>
        </w:rPr>
      </w:pPr>
      <w:r>
        <w:rPr>
          <w:rFonts w:hint="eastAsia" w:ascii="宋体" w:hAnsi="宋体" w:cs="宋体"/>
          <w:sz w:val="24"/>
        </w:rPr>
        <w:t>2、</w:t>
      </w:r>
      <w:r>
        <w:rPr>
          <w:rFonts w:hint="eastAsia" w:ascii="宋体" w:hAnsi="宋体" w:cs="宋体"/>
          <w:szCs w:val="21"/>
        </w:rPr>
        <w:t>XXXX；</w:t>
      </w:r>
    </w:p>
    <w:p>
      <w:pPr>
        <w:spacing w:line="360" w:lineRule="auto"/>
        <w:ind w:left="567"/>
        <w:rPr>
          <w:rFonts w:ascii="宋体" w:hAnsi="宋体" w:cs="宋体"/>
          <w:sz w:val="24"/>
        </w:rPr>
      </w:pPr>
      <w:r>
        <w:rPr>
          <w:rFonts w:hint="eastAsia" w:ascii="宋体" w:hAnsi="宋体" w:cs="宋体"/>
          <w:sz w:val="24"/>
        </w:rPr>
        <w:t>3、</w:t>
      </w:r>
      <w:r>
        <w:rPr>
          <w:rFonts w:hint="eastAsia" w:ascii="宋体" w:hAnsi="宋体" w:cs="宋体"/>
          <w:szCs w:val="21"/>
        </w:rPr>
        <w:t>XXXX．</w:t>
      </w:r>
    </w:p>
    <w:p>
      <w:pPr>
        <w:spacing w:line="360" w:lineRule="auto"/>
        <w:ind w:firstLine="630"/>
        <w:rPr>
          <w:rFonts w:ascii="宋体" w:hAnsi="宋体" w:cs="宋体"/>
          <w:sz w:val="24"/>
        </w:rPr>
      </w:pPr>
      <w:r>
        <w:rPr>
          <w:rFonts w:hint="eastAsia" w:ascii="宋体" w:hAnsi="宋体" w:cs="宋体"/>
          <w:sz w:val="24"/>
        </w:rPr>
        <w:t>…</w:t>
      </w:r>
    </w:p>
    <w:p>
      <w:pPr>
        <w:numPr>
          <w:ilvl w:val="0"/>
          <w:numId w:val="3"/>
        </w:numPr>
        <w:spacing w:line="360" w:lineRule="auto"/>
        <w:rPr>
          <w:rFonts w:ascii="宋体" w:hAnsi="宋体" w:cs="宋体"/>
          <w:b/>
          <w:sz w:val="24"/>
        </w:rPr>
      </w:pPr>
      <w:r>
        <w:rPr>
          <w:rFonts w:hint="eastAsia" w:ascii="宋体" w:hAnsi="宋体" w:cs="宋体"/>
          <w:b/>
          <w:sz w:val="24"/>
        </w:rPr>
        <w:t>服务费用及支付方式</w:t>
      </w:r>
    </w:p>
    <w:p>
      <w:pPr>
        <w:numPr>
          <w:ilvl w:val="0"/>
          <w:numId w:val="4"/>
        </w:numPr>
        <w:spacing w:line="360" w:lineRule="auto"/>
        <w:ind w:left="0" w:firstLine="567"/>
        <w:rPr>
          <w:rFonts w:ascii="宋体" w:hAnsi="宋体" w:cs="宋体"/>
          <w:b/>
          <w:sz w:val="24"/>
        </w:rPr>
      </w:pPr>
      <w:r>
        <w:rPr>
          <w:rFonts w:hint="eastAsia" w:ascii="宋体" w:hAnsi="宋体" w:cs="宋体"/>
          <w:b/>
          <w:sz w:val="24"/>
        </w:rPr>
        <w:t>本项目服务费用由以下组成：</w:t>
      </w:r>
    </w:p>
    <w:tbl>
      <w:tblPr>
        <w:tblStyle w:val="11"/>
        <w:tblW w:w="928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5"/>
        <w:gridCol w:w="3240"/>
        <w:gridCol w:w="900"/>
        <w:gridCol w:w="896"/>
        <w:gridCol w:w="904"/>
        <w:gridCol w:w="540"/>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trPr>
        <w:tc>
          <w:tcPr>
            <w:tcW w:w="136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服务名称</w:t>
            </w:r>
          </w:p>
        </w:tc>
        <w:tc>
          <w:tcPr>
            <w:tcW w:w="324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服务内容</w:t>
            </w:r>
          </w:p>
        </w:tc>
        <w:tc>
          <w:tcPr>
            <w:tcW w:w="90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总价（万元）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资金来源（万元）</w:t>
            </w:r>
          </w:p>
        </w:tc>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服务年限</w:t>
            </w:r>
          </w:p>
        </w:tc>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365" w:type="dxa"/>
            <w:vMerge w:val="continue"/>
            <w:tcBorders>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sz w:val="24"/>
                <w:szCs w:val="24"/>
              </w:rPr>
            </w:pPr>
          </w:p>
        </w:tc>
        <w:tc>
          <w:tcPr>
            <w:tcW w:w="324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0"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预算内</w:t>
            </w: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预算外</w:t>
            </w: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其他</w:t>
            </w:r>
          </w:p>
        </w:tc>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720" w:type="dxa"/>
            <w:vMerge w:val="continue"/>
            <w:tcBorders>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p>
            <w:pPr>
              <w:spacing w:line="400" w:lineRule="exact"/>
              <w:jc w:val="center"/>
              <w:rPr>
                <w:rFonts w:ascii="宋体" w:hAnsi="宋体" w:cs="宋体"/>
                <w:sz w:val="24"/>
                <w:szCs w:val="24"/>
              </w:rPr>
            </w:pPr>
            <w:r>
              <w:rPr>
                <w:rFonts w:hint="eastAsia" w:ascii="宋体" w:hAnsi="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p>
            <w:pPr>
              <w:spacing w:line="400" w:lineRule="exact"/>
              <w:jc w:val="center"/>
              <w:rPr>
                <w:rFonts w:ascii="宋体" w:hAnsi="宋体" w:cs="宋体"/>
                <w:sz w:val="24"/>
                <w:szCs w:val="24"/>
              </w:rPr>
            </w:pPr>
            <w:r>
              <w:rPr>
                <w:rFonts w:hint="eastAsia" w:ascii="宋体" w:hAnsi="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r>
    </w:tbl>
    <w:p>
      <w:pPr>
        <w:spacing w:line="360" w:lineRule="auto"/>
        <w:rPr>
          <w:rFonts w:ascii="宋体" w:hAnsi="宋体" w:cs="宋体"/>
          <w:b/>
          <w:sz w:val="24"/>
        </w:rPr>
      </w:pP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w:t>
      </w:r>
    </w:p>
    <w:p>
      <w:pPr>
        <w:numPr>
          <w:ilvl w:val="0"/>
          <w:numId w:val="4"/>
        </w:numPr>
        <w:tabs>
          <w:tab w:val="left" w:pos="780"/>
        </w:tabs>
        <w:spacing w:line="360" w:lineRule="auto"/>
        <w:ind w:left="0" w:firstLine="567"/>
        <w:rPr>
          <w:rFonts w:ascii="宋体" w:hAnsi="宋体" w:cs="宋体"/>
          <w:sz w:val="24"/>
        </w:rPr>
      </w:pPr>
      <w:r>
        <w:rPr>
          <w:rFonts w:hint="eastAsia" w:ascii="宋体" w:hAnsi="宋体" w:cs="宋体"/>
          <w:sz w:val="24"/>
        </w:rPr>
        <w:t>服务费支付方式：合同签订后5日内支付合同款项的90%，服务完成之后支付合同款的10%。</w:t>
      </w:r>
    </w:p>
    <w:p>
      <w:pPr>
        <w:numPr>
          <w:ilvl w:val="0"/>
          <w:numId w:val="3"/>
        </w:numPr>
        <w:spacing w:line="360" w:lineRule="auto"/>
        <w:rPr>
          <w:rFonts w:ascii="宋体" w:hAnsi="宋体" w:cs="宋体"/>
          <w:b/>
          <w:sz w:val="24"/>
        </w:rPr>
      </w:pPr>
      <w:r>
        <w:rPr>
          <w:rFonts w:hint="eastAsia" w:ascii="宋体" w:hAnsi="宋体" w:cs="宋体"/>
          <w:b/>
          <w:sz w:val="24"/>
        </w:rPr>
        <w:t>知识产权</w:t>
      </w:r>
    </w:p>
    <w:p>
      <w:pPr>
        <w:tabs>
          <w:tab w:val="left" w:pos="1440"/>
        </w:tabs>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3"/>
        </w:numPr>
        <w:spacing w:line="360" w:lineRule="auto"/>
        <w:rPr>
          <w:rFonts w:ascii="宋体" w:hAnsi="宋体" w:cs="宋体"/>
          <w:b/>
          <w:sz w:val="24"/>
        </w:rPr>
      </w:pPr>
      <w:r>
        <w:rPr>
          <w:rFonts w:hint="eastAsia" w:ascii="宋体" w:hAnsi="宋体" w:cs="宋体"/>
          <w:b/>
          <w:sz w:val="24"/>
        </w:rPr>
        <w:t>无产权瑕疵条款</w:t>
      </w:r>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3"/>
        </w:numPr>
        <w:spacing w:line="360" w:lineRule="auto"/>
        <w:rPr>
          <w:rFonts w:ascii="宋体" w:hAnsi="宋体" w:cs="宋体"/>
          <w:b/>
          <w:sz w:val="24"/>
        </w:rPr>
      </w:pPr>
      <w:r>
        <w:rPr>
          <w:rFonts w:hint="eastAsia" w:ascii="宋体" w:hAnsi="宋体" w:cs="宋体"/>
          <w:b/>
          <w:sz w:val="24"/>
        </w:rPr>
        <w:t>甲方的权利和义务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3、负责检查监督乙方管理工作的实施及制度的执行情况。</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4、根据本合同规定，按时向乙方支付应付服务费用。</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5、国家法律、法规所规定由甲方承担的其它责任。</w:t>
      </w:r>
    </w:p>
    <w:p>
      <w:pPr>
        <w:numPr>
          <w:ilvl w:val="0"/>
          <w:numId w:val="3"/>
        </w:numPr>
        <w:spacing w:line="360" w:lineRule="auto"/>
        <w:rPr>
          <w:rFonts w:ascii="宋体" w:hAnsi="宋体" w:cs="宋体"/>
          <w:b/>
          <w:sz w:val="24"/>
        </w:rPr>
      </w:pPr>
      <w:r>
        <w:rPr>
          <w:rFonts w:hint="eastAsia" w:ascii="宋体" w:hAnsi="宋体" w:cs="宋体"/>
          <w:b/>
          <w:sz w:val="24"/>
        </w:rPr>
        <w:t>乙方的权利和义务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5、国家法律、法规所规定由乙方承担的其它责任。</w:t>
      </w:r>
    </w:p>
    <w:p>
      <w:pPr>
        <w:numPr>
          <w:ilvl w:val="0"/>
          <w:numId w:val="3"/>
        </w:numPr>
        <w:spacing w:line="360" w:lineRule="auto"/>
        <w:rPr>
          <w:rFonts w:ascii="宋体" w:hAnsi="宋体" w:cs="宋体"/>
          <w:b/>
          <w:sz w:val="24"/>
        </w:rPr>
      </w:pPr>
      <w:r>
        <w:rPr>
          <w:rFonts w:hint="eastAsia" w:ascii="宋体" w:hAnsi="宋体" w:cs="宋体"/>
          <w:b/>
          <w:sz w:val="24"/>
        </w:rPr>
        <w:t>违约责任</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3"/>
        </w:numPr>
        <w:spacing w:line="360" w:lineRule="auto"/>
        <w:rPr>
          <w:rFonts w:ascii="宋体" w:hAnsi="宋体" w:cs="宋体"/>
          <w:b/>
          <w:sz w:val="24"/>
        </w:rPr>
      </w:pPr>
      <w:r>
        <w:rPr>
          <w:rFonts w:hint="eastAsia" w:ascii="宋体" w:hAnsi="宋体" w:cs="宋体"/>
          <w:b/>
          <w:sz w:val="24"/>
        </w:rPr>
        <w:t>不可抗力事件处理</w:t>
      </w:r>
    </w:p>
    <w:p>
      <w:pPr>
        <w:tabs>
          <w:tab w:val="left" w:pos="0"/>
        </w:tabs>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spacing w:line="360" w:lineRule="auto"/>
        <w:ind w:firstLine="480" w:firstLineChars="200"/>
        <w:rPr>
          <w:rFonts w:ascii="宋体" w:hAnsi="宋体" w:cs="宋体"/>
          <w:sz w:val="24"/>
        </w:rPr>
      </w:pPr>
      <w:r>
        <w:rPr>
          <w:rFonts w:hint="eastAsia" w:ascii="宋体" w:hAnsi="宋体" w:cs="宋体"/>
          <w:sz w:val="24"/>
        </w:rPr>
        <w:t>3、不可抗力事件延续</w:t>
      </w:r>
      <w:r>
        <w:rPr>
          <w:rFonts w:hint="eastAsia" w:ascii="宋体" w:hAnsi="宋体" w:cs="宋体"/>
          <w:szCs w:val="21"/>
        </w:rPr>
        <w:t>XX</w:t>
      </w:r>
      <w:r>
        <w:rPr>
          <w:rFonts w:hint="eastAsia" w:ascii="宋体" w:hAnsi="宋体" w:cs="宋体"/>
          <w:sz w:val="24"/>
        </w:rPr>
        <w:t>天以上，双方应通过友好协商，确定是否继续履行合同。</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numPr>
          <w:ilvl w:val="0"/>
          <w:numId w:val="3"/>
        </w:numPr>
        <w:spacing w:line="360" w:lineRule="auto"/>
        <w:rPr>
          <w:rFonts w:ascii="宋体" w:hAnsi="宋体" w:cs="宋体"/>
          <w:b/>
          <w:sz w:val="24"/>
        </w:rPr>
      </w:pPr>
      <w:bookmarkStart w:id="100" w:name="_Toc247334846"/>
      <w:bookmarkStart w:id="101" w:name="_Toc211854454"/>
      <w:bookmarkStart w:id="102" w:name="_Toc286993792"/>
      <w:bookmarkStart w:id="103" w:name="_Toc225670756"/>
      <w:bookmarkStart w:id="104" w:name="_Toc212019599"/>
      <w:bookmarkStart w:id="105" w:name="_Toc241833908"/>
      <w:bookmarkStart w:id="106" w:name="_Toc239568423"/>
      <w:bookmarkStart w:id="107" w:name="_Toc225654649"/>
      <w:bookmarkStart w:id="108" w:name="_Toc185395254"/>
      <w:bookmarkStart w:id="109" w:name="_Toc238984980"/>
      <w:bookmarkStart w:id="110" w:name="_Toc239233919"/>
      <w:bookmarkStart w:id="111" w:name="_Toc232492933"/>
      <w:bookmarkStart w:id="112" w:name="_Toc251768867"/>
      <w:bookmarkStart w:id="113" w:name="_Toc211911353"/>
      <w:bookmarkStart w:id="114" w:name="_Toc237145411"/>
      <w:bookmarkStart w:id="115" w:name="_Toc225244857"/>
      <w:r>
        <w:rPr>
          <w:rFonts w:hint="eastAsia" w:ascii="宋体" w:hAnsi="宋体" w:cs="宋体"/>
          <w:b/>
          <w:sz w:val="24"/>
        </w:rPr>
        <w:t>解决合同纠纷的方式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0"/>
        </w:tabs>
        <w:spacing w:line="360" w:lineRule="auto"/>
        <w:ind w:firstLine="480" w:firstLineChars="200"/>
        <w:rPr>
          <w:rFonts w:ascii="宋体" w:hAnsi="宋体" w:cs="宋体"/>
          <w:sz w:val="24"/>
        </w:rPr>
      </w:pPr>
      <w:r>
        <w:rPr>
          <w:rFonts w:hint="eastAsia" w:ascii="宋体" w:hAnsi="宋体" w:cs="宋体"/>
          <w:sz w:val="24"/>
        </w:rPr>
        <w:t>1、在执行本合同中发生的或与本合同有关的争端，双方应通过友好协商解决，经协商在</w:t>
      </w:r>
      <w:r>
        <w:rPr>
          <w:rFonts w:hint="eastAsia" w:ascii="宋体" w:hAnsi="宋体" w:cs="宋体"/>
          <w:szCs w:val="21"/>
        </w:rPr>
        <w:t>XX</w:t>
      </w:r>
      <w:r>
        <w:rPr>
          <w:rFonts w:hint="eastAsia" w:ascii="宋体" w:hAnsi="宋体" w:cs="宋体"/>
          <w:sz w:val="24"/>
        </w:rPr>
        <w:t>天内不能达成协议时，应提交成都仲裁委员会仲裁。</w:t>
      </w:r>
    </w:p>
    <w:p>
      <w:pPr>
        <w:tabs>
          <w:tab w:val="left" w:pos="0"/>
        </w:tabs>
        <w:spacing w:line="360" w:lineRule="auto"/>
        <w:ind w:firstLine="480" w:firstLineChars="200"/>
        <w:rPr>
          <w:rFonts w:ascii="宋体" w:hAnsi="宋体" w:cs="宋体"/>
          <w:sz w:val="24"/>
        </w:rPr>
      </w:pPr>
      <w:r>
        <w:rPr>
          <w:rFonts w:hint="eastAsia" w:ascii="宋体" w:hAnsi="宋体" w:cs="宋体"/>
          <w:sz w:val="24"/>
        </w:rPr>
        <w:t>2、仲裁裁决应为最终决定，并对双方具有约束力。</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3、除另有裁决外，仲裁费应由败诉方负担。 </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4、在仲裁期间，除正在进行仲裁部分外，合同其他部分继续执行。  </w:t>
      </w:r>
    </w:p>
    <w:p>
      <w:pPr>
        <w:numPr>
          <w:ilvl w:val="0"/>
          <w:numId w:val="3"/>
        </w:numPr>
        <w:spacing w:line="360" w:lineRule="auto"/>
        <w:rPr>
          <w:rFonts w:ascii="宋体" w:hAnsi="宋体" w:cs="宋体"/>
          <w:b/>
          <w:sz w:val="24"/>
        </w:rPr>
      </w:pPr>
      <w:bookmarkStart w:id="116" w:name="_Toc211854455"/>
      <w:bookmarkStart w:id="117" w:name="_Toc251768868"/>
      <w:bookmarkStart w:id="118" w:name="_Toc282696231"/>
      <w:bookmarkStart w:id="119" w:name="_Toc225670757"/>
      <w:bookmarkStart w:id="120" w:name="_Toc239568424"/>
      <w:bookmarkStart w:id="121" w:name="_Toc212019600"/>
      <w:bookmarkStart w:id="122" w:name="_Toc232492934"/>
      <w:bookmarkStart w:id="123" w:name="_Toc239233920"/>
      <w:bookmarkStart w:id="124" w:name="_Toc241833909"/>
      <w:bookmarkStart w:id="125" w:name="_Toc225654650"/>
      <w:bookmarkStart w:id="126" w:name="_Toc185395255"/>
      <w:bookmarkStart w:id="127" w:name="_Toc237145412"/>
      <w:bookmarkStart w:id="128" w:name="_Toc225244858"/>
      <w:bookmarkStart w:id="129" w:name="_Toc286993793"/>
      <w:bookmarkStart w:id="130" w:name="_Toc283019219"/>
      <w:bookmarkStart w:id="131" w:name="_Toc211911354"/>
      <w:bookmarkStart w:id="132" w:name="_Toc247334847"/>
      <w:bookmarkStart w:id="133" w:name="_Toc238984981"/>
      <w:r>
        <w:rPr>
          <w:rFonts w:hint="eastAsia" w:ascii="宋体" w:hAnsi="宋体" w:cs="宋体"/>
          <w:b/>
          <w:sz w:val="24"/>
        </w:rPr>
        <w:t>合同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宋体" w:hAnsi="宋体" w:cs="宋体"/>
          <w:b/>
          <w:sz w:val="24"/>
        </w:rPr>
        <w:t>生效及其他</w:t>
      </w:r>
    </w:p>
    <w:p>
      <w:pPr>
        <w:pStyle w:val="18"/>
        <w:spacing w:line="360" w:lineRule="auto"/>
        <w:ind w:firstLine="480"/>
        <w:rPr>
          <w:rFonts w:ascii="宋体" w:hAnsi="宋体" w:cs="宋体"/>
          <w:sz w:val="24"/>
        </w:rPr>
      </w:pPr>
      <w:r>
        <w:rPr>
          <w:rFonts w:hint="eastAsia" w:ascii="宋体" w:hAnsi="宋体" w:cs="宋体"/>
          <w:sz w:val="24"/>
        </w:rPr>
        <w:t>1、合同经双方法定代表人或授权委托代理人签字并加盖单位公章后生效。</w:t>
      </w:r>
    </w:p>
    <w:p>
      <w:pPr>
        <w:pStyle w:val="18"/>
        <w:spacing w:line="360" w:lineRule="auto"/>
        <w:ind w:firstLine="480"/>
        <w:rPr>
          <w:rFonts w:ascii="宋体" w:hAnsi="宋体" w:cs="宋体"/>
          <w:sz w:val="24"/>
        </w:rPr>
      </w:pPr>
      <w:r>
        <w:rPr>
          <w:rFonts w:hint="eastAsia" w:ascii="宋体" w:hAnsi="宋体" w:cs="宋体"/>
          <w:sz w:val="24"/>
        </w:rPr>
        <w:t>2、合同执行中涉及采购资金和采购内容修改或补充的，须经政府采购监管部门审批，并签书面补充协议报政府采购监督管理部门备案，方可作为主合同不可分割的一部分。</w:t>
      </w:r>
    </w:p>
    <w:p>
      <w:pPr>
        <w:pStyle w:val="18"/>
        <w:spacing w:line="360" w:lineRule="auto"/>
        <w:ind w:firstLine="480"/>
        <w:rPr>
          <w:rFonts w:ascii="宋体" w:hAnsi="宋体" w:cs="宋体"/>
          <w:sz w:val="24"/>
        </w:rPr>
      </w:pPr>
      <w:r>
        <w:rPr>
          <w:rFonts w:hint="eastAsia" w:ascii="宋体" w:hAnsi="宋体" w:cs="宋体"/>
          <w:sz w:val="24"/>
        </w:rPr>
        <w:t>3、本合同一式</w:t>
      </w:r>
      <w:r>
        <w:rPr>
          <w:rFonts w:hint="eastAsia" w:ascii="宋体" w:hAnsi="宋体" w:cs="宋体"/>
          <w:szCs w:val="21"/>
        </w:rPr>
        <w:t>XX</w:t>
      </w:r>
      <w:r>
        <w:rPr>
          <w:rFonts w:hint="eastAsia" w:ascii="宋体" w:hAnsi="宋体" w:cs="宋体"/>
          <w:sz w:val="24"/>
        </w:rPr>
        <w:t>份，自双方签章之日起起效。甲方</w:t>
      </w:r>
      <w:r>
        <w:rPr>
          <w:rFonts w:hint="eastAsia" w:ascii="宋体" w:hAnsi="宋体" w:cs="宋体"/>
          <w:szCs w:val="21"/>
        </w:rPr>
        <w:t>XX</w:t>
      </w:r>
      <w:r>
        <w:rPr>
          <w:rFonts w:hint="eastAsia" w:ascii="宋体" w:hAnsi="宋体" w:cs="宋体"/>
          <w:sz w:val="24"/>
        </w:rPr>
        <w:t>份，乙方</w:t>
      </w:r>
      <w:r>
        <w:rPr>
          <w:rFonts w:hint="eastAsia" w:ascii="宋体" w:hAnsi="宋体" w:cs="宋体"/>
          <w:szCs w:val="21"/>
        </w:rPr>
        <w:t>XX</w:t>
      </w:r>
      <w:r>
        <w:rPr>
          <w:rFonts w:hint="eastAsia" w:ascii="宋体" w:hAnsi="宋体" w:cs="宋体"/>
          <w:sz w:val="24"/>
        </w:rPr>
        <w:t>份，政府采购单位</w:t>
      </w:r>
      <w:r>
        <w:rPr>
          <w:rFonts w:hint="eastAsia" w:ascii="宋体" w:hAnsi="宋体" w:cs="宋体"/>
          <w:szCs w:val="21"/>
        </w:rPr>
        <w:t>XX</w:t>
      </w:r>
      <w:r>
        <w:rPr>
          <w:rFonts w:hint="eastAsia" w:ascii="宋体" w:hAnsi="宋体" w:cs="宋体"/>
          <w:sz w:val="24"/>
        </w:rPr>
        <w:t>份，同级财政部门备案</w:t>
      </w:r>
      <w:r>
        <w:rPr>
          <w:rFonts w:hint="eastAsia" w:ascii="宋体" w:hAnsi="宋体" w:cs="宋体"/>
          <w:szCs w:val="21"/>
        </w:rPr>
        <w:t>XX</w:t>
      </w:r>
      <w:r>
        <w:rPr>
          <w:rFonts w:hint="eastAsia" w:ascii="宋体" w:hAnsi="宋体" w:cs="宋体"/>
          <w:sz w:val="24"/>
        </w:rPr>
        <w:t>份，具有同等法律效力。</w:t>
      </w:r>
    </w:p>
    <w:p>
      <w:pPr>
        <w:numPr>
          <w:ilvl w:val="0"/>
          <w:numId w:val="3"/>
        </w:numPr>
        <w:spacing w:line="360" w:lineRule="auto"/>
        <w:rPr>
          <w:rFonts w:ascii="宋体" w:hAnsi="宋体" w:cs="宋体"/>
          <w:b/>
          <w:sz w:val="24"/>
        </w:rPr>
      </w:pPr>
      <w:r>
        <w:rPr>
          <w:rFonts w:hint="eastAsia" w:ascii="宋体" w:hAnsi="宋体" w:cs="宋体"/>
          <w:b/>
          <w:sz w:val="24"/>
        </w:rPr>
        <w:t>附件</w:t>
      </w:r>
    </w:p>
    <w:p>
      <w:pPr>
        <w:pStyle w:val="18"/>
        <w:spacing w:line="360" w:lineRule="auto"/>
        <w:ind w:firstLine="480"/>
        <w:rPr>
          <w:rFonts w:ascii="宋体" w:hAnsi="宋体" w:cs="宋体"/>
          <w:sz w:val="24"/>
        </w:rPr>
      </w:pPr>
      <w:r>
        <w:rPr>
          <w:rFonts w:hint="eastAsia" w:ascii="宋体" w:hAnsi="宋体" w:cs="宋体"/>
          <w:sz w:val="24"/>
        </w:rPr>
        <w:t>1、项目招标文件</w:t>
      </w:r>
    </w:p>
    <w:p>
      <w:pPr>
        <w:pStyle w:val="18"/>
        <w:spacing w:line="360" w:lineRule="auto"/>
        <w:ind w:firstLine="480"/>
        <w:rPr>
          <w:rFonts w:ascii="宋体" w:hAnsi="宋体" w:cs="宋体"/>
          <w:sz w:val="24"/>
        </w:rPr>
      </w:pPr>
      <w:r>
        <w:rPr>
          <w:rFonts w:hint="eastAsia" w:ascii="宋体" w:hAnsi="宋体" w:cs="宋体"/>
          <w:sz w:val="24"/>
        </w:rPr>
        <w:t>2、项目修改澄清文件</w:t>
      </w:r>
    </w:p>
    <w:p>
      <w:pPr>
        <w:pStyle w:val="18"/>
        <w:spacing w:line="360" w:lineRule="auto"/>
        <w:ind w:firstLine="480"/>
        <w:rPr>
          <w:rFonts w:ascii="宋体" w:hAnsi="宋体" w:cs="宋体"/>
          <w:sz w:val="24"/>
        </w:rPr>
      </w:pPr>
      <w:r>
        <w:rPr>
          <w:rFonts w:hint="eastAsia" w:ascii="宋体" w:hAnsi="宋体" w:cs="宋体"/>
          <w:sz w:val="24"/>
        </w:rPr>
        <w:t>3、项目响应文件</w:t>
      </w:r>
    </w:p>
    <w:p>
      <w:pPr>
        <w:pStyle w:val="18"/>
        <w:spacing w:line="360" w:lineRule="auto"/>
        <w:ind w:firstLine="480"/>
        <w:rPr>
          <w:rFonts w:ascii="宋体" w:hAnsi="宋体" w:cs="宋体"/>
          <w:sz w:val="24"/>
        </w:rPr>
      </w:pPr>
      <w:r>
        <w:rPr>
          <w:rFonts w:hint="eastAsia" w:ascii="宋体" w:hAnsi="宋体" w:cs="宋体"/>
          <w:sz w:val="24"/>
        </w:rPr>
        <w:t>4、中标通知书</w:t>
      </w:r>
    </w:p>
    <w:p>
      <w:pPr>
        <w:pStyle w:val="18"/>
        <w:spacing w:line="360" w:lineRule="auto"/>
        <w:ind w:firstLine="480"/>
        <w:rPr>
          <w:rFonts w:ascii="宋体" w:hAnsi="宋体" w:cs="宋体"/>
          <w:sz w:val="24"/>
        </w:rPr>
      </w:pPr>
      <w:r>
        <w:rPr>
          <w:rFonts w:hint="eastAsia" w:ascii="宋体" w:hAnsi="宋体" w:cs="宋体"/>
          <w:sz w:val="24"/>
        </w:rPr>
        <w:t>5、其他</w:t>
      </w:r>
    </w:p>
    <w:p>
      <w:pPr>
        <w:spacing w:line="360" w:lineRule="auto"/>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spacing w:line="400" w:lineRule="exact"/>
        <w:ind w:firstLine="480" w:firstLineChars="200"/>
        <w:rPr>
          <w:rFonts w:ascii="宋体" w:hAnsi="宋体" w:cs="宋体"/>
          <w:sz w:val="24"/>
        </w:rPr>
      </w:pP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w:t>
      </w:r>
      <w:r>
        <w:rPr>
          <w:rFonts w:hint="eastAsia" w:ascii="宋体" w:hAnsi="宋体" w:cs="宋体"/>
          <w:sz w:val="24"/>
        </w:rPr>
        <w:t xml:space="preserve">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XX日</w:t>
      </w:r>
    </w:p>
    <w:p>
      <w:pPr>
        <w:rPr>
          <w:rFonts w:ascii="宋体" w:hAnsi="宋体" w:cs="宋体"/>
        </w:rPr>
      </w:pPr>
      <w:bookmarkStart w:id="134" w:name="_Toc2135"/>
    </w:p>
    <w:p>
      <w:pPr>
        <w:rPr>
          <w:rFonts w:ascii="宋体" w:hAnsi="宋体" w:cs="宋体"/>
        </w:rPr>
      </w:pPr>
      <w:bookmarkStart w:id="135" w:name="_Toc26782"/>
      <w:bookmarkStart w:id="136" w:name="_Toc24069"/>
      <w:r>
        <w:rPr>
          <w:rFonts w:hint="eastAsia" w:ascii="宋体" w:hAnsi="宋体" w:cs="宋体"/>
        </w:rPr>
        <w:br w:type="page"/>
      </w:r>
    </w:p>
    <w:p>
      <w:pPr>
        <w:pStyle w:val="2"/>
        <w:rPr>
          <w:rFonts w:ascii="宋体" w:hAnsi="宋体" w:eastAsia="宋体" w:cs="宋体"/>
        </w:rPr>
      </w:pPr>
      <w:r>
        <w:rPr>
          <w:rFonts w:hint="eastAsia" w:ascii="宋体" w:hAnsi="宋体" w:eastAsia="宋体" w:cs="宋体"/>
        </w:rPr>
        <w:t>十三、采购项目履约验收标准和要求</w:t>
      </w:r>
      <w:bookmarkEnd w:id="134"/>
      <w:bookmarkEnd w:id="135"/>
      <w:bookmarkEnd w:id="136"/>
    </w:p>
    <w:p>
      <w:pPr>
        <w:rPr>
          <w:rFonts w:ascii="宋体" w:hAnsi="宋体" w:cs="宋体"/>
          <w:sz w:val="28"/>
          <w:szCs w:val="28"/>
        </w:rPr>
      </w:pPr>
      <w:r>
        <w:rPr>
          <w:rFonts w:hint="eastAsia" w:ascii="宋体" w:hAnsi="宋体" w:cs="宋体"/>
          <w:sz w:val="28"/>
          <w:szCs w:val="28"/>
        </w:rPr>
        <w:t xml:space="preserve">   1.磋商文件中的相关规定、合同条款要求及相关法律法规或行业规定。</w:t>
      </w:r>
    </w:p>
    <w:p>
      <w:pPr>
        <w:rPr>
          <w:rFonts w:ascii="宋体" w:hAnsi="宋体" w:cs="宋体"/>
          <w:sz w:val="28"/>
          <w:szCs w:val="28"/>
        </w:rPr>
      </w:pPr>
      <w:r>
        <w:rPr>
          <w:rFonts w:hint="eastAsia" w:ascii="宋体" w:hAnsi="宋体" w:cs="宋体"/>
          <w:sz w:val="28"/>
          <w:szCs w:val="28"/>
        </w:rPr>
        <w:t xml:space="preserve">   2.按照《四川省政府采购项目需求论证和履约验收管理办法》（川财采[2015]32号）文件的要求进行履约验收。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sectPr>
      <w:headerReference r:id="rId3" w:type="default"/>
      <w:footerReference r:id="rId5" w:type="default"/>
      <w:headerReference r:id="rId4" w:type="even"/>
      <w:footerReference r:id="rId6" w:type="even"/>
      <w:pgSz w:w="11907" w:h="16840"/>
      <w:pgMar w:top="1418" w:right="1361" w:bottom="1304"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27</w:t>
    </w:r>
    <w:r>
      <w:fldChar w:fldCharType="end"/>
    </w:r>
  </w:p>
  <w:p>
    <w:pPr>
      <w:pStyle w:val="7"/>
      <w:ind w:right="360"/>
      <w:rPr>
        <w:rStyle w:val="13"/>
        <w:kern w:val="0"/>
      </w:rPr>
    </w:pPr>
  </w:p>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B7ADD"/>
    <w:multiLevelType w:val="singleLevel"/>
    <w:tmpl w:val="995B7ADD"/>
    <w:lvl w:ilvl="0" w:tentative="0">
      <w:start w:val="1"/>
      <w:numFmt w:val="chineseCounting"/>
      <w:suff w:val="nothing"/>
      <w:lvlText w:val="%1、"/>
      <w:lvlJc w:val="left"/>
      <w:rPr>
        <w:rFonts w:hint="eastAsia"/>
      </w:r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
    <w:nsid w:val="5403FBAA"/>
    <w:multiLevelType w:val="singleLevel"/>
    <w:tmpl w:val="5403FBAA"/>
    <w:lvl w:ilvl="0" w:tentative="0">
      <w:start w:val="6"/>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9271C8"/>
    <w:rsid w:val="0002411B"/>
    <w:rsid w:val="000414DB"/>
    <w:rsid w:val="000663A8"/>
    <w:rsid w:val="00093378"/>
    <w:rsid w:val="000B607A"/>
    <w:rsid w:val="00102C03"/>
    <w:rsid w:val="001524E3"/>
    <w:rsid w:val="001D0E96"/>
    <w:rsid w:val="002743DF"/>
    <w:rsid w:val="00281BCF"/>
    <w:rsid w:val="00296583"/>
    <w:rsid w:val="002B69B0"/>
    <w:rsid w:val="002C047F"/>
    <w:rsid w:val="002D2413"/>
    <w:rsid w:val="002E16E8"/>
    <w:rsid w:val="00371155"/>
    <w:rsid w:val="00384CC7"/>
    <w:rsid w:val="003C415D"/>
    <w:rsid w:val="003D5347"/>
    <w:rsid w:val="00442F6E"/>
    <w:rsid w:val="00477ED2"/>
    <w:rsid w:val="004E7474"/>
    <w:rsid w:val="005C34D0"/>
    <w:rsid w:val="005C7D71"/>
    <w:rsid w:val="005D719E"/>
    <w:rsid w:val="0062553C"/>
    <w:rsid w:val="00653C86"/>
    <w:rsid w:val="00667BBA"/>
    <w:rsid w:val="006D3F1B"/>
    <w:rsid w:val="006F2E1C"/>
    <w:rsid w:val="00730553"/>
    <w:rsid w:val="00764B0B"/>
    <w:rsid w:val="00793F98"/>
    <w:rsid w:val="007A2C48"/>
    <w:rsid w:val="0087207C"/>
    <w:rsid w:val="008A2605"/>
    <w:rsid w:val="0094326E"/>
    <w:rsid w:val="009A6E85"/>
    <w:rsid w:val="009B5065"/>
    <w:rsid w:val="009C4AF5"/>
    <w:rsid w:val="009E19CF"/>
    <w:rsid w:val="00A37E9D"/>
    <w:rsid w:val="00A40153"/>
    <w:rsid w:val="00AC4FD6"/>
    <w:rsid w:val="00B40705"/>
    <w:rsid w:val="00B52533"/>
    <w:rsid w:val="00B6042A"/>
    <w:rsid w:val="00B6644E"/>
    <w:rsid w:val="00C01892"/>
    <w:rsid w:val="00C25E44"/>
    <w:rsid w:val="00C81960"/>
    <w:rsid w:val="00C81C18"/>
    <w:rsid w:val="00C907E0"/>
    <w:rsid w:val="00CA05CE"/>
    <w:rsid w:val="00CD1637"/>
    <w:rsid w:val="00D17AA8"/>
    <w:rsid w:val="00D17B8E"/>
    <w:rsid w:val="00D5670F"/>
    <w:rsid w:val="00D7422B"/>
    <w:rsid w:val="00DF5376"/>
    <w:rsid w:val="00E35882"/>
    <w:rsid w:val="00E43AD7"/>
    <w:rsid w:val="00E57691"/>
    <w:rsid w:val="00E64F23"/>
    <w:rsid w:val="00E8687F"/>
    <w:rsid w:val="00EA1D6A"/>
    <w:rsid w:val="00EB2152"/>
    <w:rsid w:val="00EC1851"/>
    <w:rsid w:val="00F60D17"/>
    <w:rsid w:val="00F71907"/>
    <w:rsid w:val="00F81A15"/>
    <w:rsid w:val="00F83E5B"/>
    <w:rsid w:val="00FB3BC6"/>
    <w:rsid w:val="00FD29BD"/>
    <w:rsid w:val="00FD4999"/>
    <w:rsid w:val="039F2A47"/>
    <w:rsid w:val="08827EF4"/>
    <w:rsid w:val="0CA96494"/>
    <w:rsid w:val="10AF6871"/>
    <w:rsid w:val="18E00693"/>
    <w:rsid w:val="225936AB"/>
    <w:rsid w:val="289271C8"/>
    <w:rsid w:val="2ED64AE3"/>
    <w:rsid w:val="3263637F"/>
    <w:rsid w:val="33D9338F"/>
    <w:rsid w:val="3B5A4F1C"/>
    <w:rsid w:val="3D734A01"/>
    <w:rsid w:val="45630245"/>
    <w:rsid w:val="45C72587"/>
    <w:rsid w:val="46F67A63"/>
    <w:rsid w:val="4CD90F9B"/>
    <w:rsid w:val="56881F70"/>
    <w:rsid w:val="571713C2"/>
    <w:rsid w:val="58644FB9"/>
    <w:rsid w:val="5E963894"/>
    <w:rsid w:val="63A32306"/>
    <w:rsid w:val="695F1F83"/>
    <w:rsid w:val="6B691EC3"/>
    <w:rsid w:val="6C586F84"/>
    <w:rsid w:val="6D8F2A2F"/>
    <w:rsid w:val="71A068B0"/>
    <w:rsid w:val="7A2501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360" w:after="360" w:line="400" w:lineRule="exact"/>
      <w:jc w:val="center"/>
      <w:outlineLvl w:val="0"/>
    </w:pPr>
    <w:rPr>
      <w:rFonts w:ascii="Arial" w:hAnsi="Arial" w:eastAsia="黑体"/>
      <w:b/>
      <w:kern w:val="44"/>
      <w:sz w:val="30"/>
      <w:szCs w:val="30"/>
    </w:rPr>
  </w:style>
  <w:style w:type="paragraph" w:styleId="3">
    <w:name w:val="heading 2"/>
    <w:basedOn w:val="1"/>
    <w:next w:val="4"/>
    <w:qFormat/>
    <w:uiPriority w:val="0"/>
    <w:pPr>
      <w:keepNext/>
      <w:spacing w:line="480" w:lineRule="exact"/>
      <w:outlineLvl w:val="1"/>
    </w:pPr>
    <w:rPr>
      <w:rFonts w:ascii="宋体"/>
      <w:sz w:val="28"/>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line="360" w:lineRule="auto"/>
      <w:ind w:right="25" w:rightChars="12" w:firstLine="485" w:firstLineChars="202"/>
    </w:pPr>
    <w:rPr>
      <w:rFonts w:ascii="宋体" w:hAnsi="宋体"/>
      <w:kern w:val="0"/>
      <w:sz w:val="24"/>
      <w:szCs w:val="24"/>
    </w:rPr>
  </w:style>
  <w:style w:type="paragraph" w:styleId="5">
    <w:name w:val="Body Text Indent"/>
    <w:basedOn w:val="1"/>
    <w:qFormat/>
    <w:uiPriority w:val="0"/>
    <w:pPr>
      <w:ind w:firstLine="630"/>
    </w:pPr>
    <w:rPr>
      <w:sz w:val="32"/>
    </w:rPr>
  </w:style>
  <w:style w:type="paragraph" w:styleId="6">
    <w:name w:val="Body Text Indent 2"/>
    <w:basedOn w:val="1"/>
    <w:qFormat/>
    <w:uiPriority w:val="0"/>
    <w:pPr>
      <w:ind w:firstLine="630"/>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spacing w:before="120" w:after="120" w:line="360" w:lineRule="auto"/>
      <w:ind w:firstLine="180" w:firstLineChars="75"/>
    </w:pPr>
    <w:rPr>
      <w:bCs/>
      <w:caps/>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3">
    <w:name w:val="page number"/>
    <w:basedOn w:val="12"/>
    <w:qFormat/>
    <w:uiPriority w:val="0"/>
  </w:style>
  <w:style w:type="paragraph" w:customStyle="1" w:styleId="14">
    <w:name w:val="正文首行缩进两字符"/>
    <w:basedOn w:val="1"/>
    <w:qFormat/>
    <w:uiPriority w:val="0"/>
    <w:pPr>
      <w:spacing w:line="360" w:lineRule="auto"/>
      <w:ind w:firstLine="200" w:firstLineChars="200"/>
    </w:pPr>
    <w:rPr>
      <w:szCs w:val="24"/>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7">
    <w:name w:val="样式 首行缩进:  2 字符"/>
    <w:basedOn w:val="1"/>
    <w:qFormat/>
    <w:uiPriority w:val="0"/>
    <w:pPr>
      <w:spacing w:line="400" w:lineRule="exact"/>
      <w:ind w:firstLine="200" w:firstLineChars="200"/>
    </w:pPr>
    <w:rPr>
      <w:rFonts w:cs="宋体"/>
      <w:sz w:val="24"/>
      <w:szCs w:val="24"/>
    </w:rPr>
  </w:style>
  <w:style w:type="paragraph" w:styleId="1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2345</Words>
  <Characters>13371</Characters>
  <Lines>111</Lines>
  <Paragraphs>31</Paragraphs>
  <TotalTime>44</TotalTime>
  <ScaleCrop>false</ScaleCrop>
  <LinksUpToDate>false</LinksUpToDate>
  <CharactersWithSpaces>15685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2020-09-08T03:01:00Z</dcterms:created>
  <dc:creator>Aidoll</dc:creator>
  <cp:lastModifiedBy>骆强</cp:lastModifiedBy>
  <cp:lastPrinted>2020-12-02T06:58:00Z</cp:lastPrinted>
  <dcterms:modified xsi:type="dcterms:W3CDTF">2020-12-03T02:22:34Z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