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78441"/>
      <w:bookmarkStart w:id="3" w:name="_Toc15396597"/>
      <w:bookmarkStart w:id="4" w:name="_Toc15377425"/>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77194"/>
      <w:bookmarkStart w:id="8" w:name="_Toc15377426"/>
      <w:bookmarkStart w:id="9" w:name="_Toc15396476"/>
      <w:bookmarkStart w:id="10" w:name="_Toc15396598"/>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应急管理厅（本级）单位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黑体" w:hAnsi="黑体" w:eastAsia="黑体" w:cstheme="minorBidi"/>
          <w:color w:val="auto"/>
          <w:sz w:val="28"/>
          <w:szCs w:val="28"/>
          <w:highlight w:val="none"/>
        </w:rPr>
      </w:pPr>
      <w:r>
        <w:rPr>
          <w:rFonts w:hint="eastAsia" w:ascii="黑体" w:hAnsi="黑体" w:eastAsia="黑体"/>
          <w:color w:val="auto"/>
          <w:sz w:val="44"/>
          <w:szCs w:val="44"/>
          <w:highlight w:val="none"/>
        </w:rPr>
        <w:t>目录</w:t>
      </w:r>
    </w:p>
    <w:p>
      <w:pPr>
        <w:pStyle w:val="10"/>
        <w:keepNext w:val="0"/>
        <w:keepLines w:val="0"/>
        <w:pageBreakBefore w:val="0"/>
        <w:kinsoku/>
        <w:wordWrap/>
        <w:overflowPunct/>
        <w:topLinePunct w:val="0"/>
        <w:autoSpaceDE/>
        <w:autoSpaceDN/>
        <w:bidi w:val="0"/>
        <w:adjustRightInd/>
        <w:snapToGrid/>
        <w:spacing w:before="0" w:line="520" w:lineRule="exact"/>
        <w:textAlignment w:val="auto"/>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sdt>
      <w:sdtPr>
        <w:rPr>
          <w:rFonts w:ascii="宋体" w:hAnsi="宋体" w:eastAsia="宋体" w:cs="Times New Roman"/>
          <w:kern w:val="2"/>
          <w:sz w:val="21"/>
          <w:szCs w:val="24"/>
          <w:lang w:val="en-US" w:eastAsia="zh-CN" w:bidi="ar-SA"/>
        </w:rPr>
        <w:id w:val="147481810"/>
        <w:docPartObj>
          <w:docPartGallery w:val="Table of Contents"/>
          <w:docPartUnique/>
        </w:docPartObj>
      </w:sdtPr>
      <w:sdtEndPr>
        <w:rPr>
          <w:rFonts w:ascii="宋体" w:hAnsi="宋体" w:eastAsia="宋体" w:cs="Times New Roman"/>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pPr>
          <w:bookmarkStart w:id="12" w:name="_Toc6339_WPSOffice_Type2"/>
        </w:p>
        <w:p>
          <w:pPr>
            <w:pStyle w:val="30"/>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rPr>
              <w:b/>
              <w:bCs/>
            </w:rPr>
            <w:fldChar w:fldCharType="begin"/>
          </w:r>
          <w:r>
            <w:instrText xml:space="preserve"> HYPERLINK \l _Toc6764_WPSOffice_Level1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47481810"/>
              <w:placeholder>
                <w:docPart w:val="{54a44b72-155b-45aa-9afe-b97d0f67a76a}"/>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第一部分 单位概况</w:t>
              </w:r>
            </w:sdtContent>
          </w:sdt>
          <w:r>
            <w:rPr>
              <w:b/>
              <w:bCs/>
            </w:rPr>
            <w:tab/>
          </w:r>
          <w:bookmarkStart w:id="13" w:name="_Toc6764_WPSOffice_Level1Page"/>
          <w:r>
            <w:rPr>
              <w:b/>
              <w:bCs/>
            </w:rPr>
            <w:t>3</w:t>
          </w:r>
          <w:bookmarkEnd w:id="13"/>
          <w:r>
            <w:rPr>
              <w:b/>
              <w:bCs/>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_Toc6339_WPSOffice_Level2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6ea173b1-e8d1-471a-8c4f-4939e8a9cf99}"/>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一、职能简介</w:t>
              </w:r>
            </w:sdtContent>
          </w:sdt>
          <w:r>
            <w:tab/>
          </w:r>
          <w:bookmarkStart w:id="14" w:name="_Toc6339_WPSOffice_Level2Page"/>
          <w:r>
            <w:t>3</w:t>
          </w:r>
          <w:bookmarkEnd w:id="14"/>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_Toc21038_WPSOffice_Level2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d3fbcc3d-3ffc-43f1-a6fb-aee737240d66}"/>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二、2021年重点工作完成情况</w:t>
              </w:r>
            </w:sdtContent>
          </w:sdt>
          <w:r>
            <w:tab/>
          </w:r>
          <w:bookmarkStart w:id="15" w:name="_Toc21038_WPSOffice_Level2Page"/>
          <w:r>
            <w:t>4</w:t>
          </w:r>
          <w:bookmarkEnd w:id="15"/>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rPr>
              <w:rFonts w:hint="eastAsia" w:eastAsiaTheme="minorEastAsia"/>
              <w:lang w:eastAsia="zh-CN"/>
            </w:rPr>
          </w:pPr>
          <w:r>
            <w:rPr>
              <w:rFonts w:hint="eastAsia" w:ascii="黑体" w:hAnsi="黑体" w:eastAsia="黑体" w:cstheme="majorBidi"/>
              <w:lang w:eastAsia="zh-CN"/>
            </w:rPr>
            <w:t>三、机构设置情况</w:t>
          </w:r>
          <w:r>
            <w:tab/>
          </w:r>
          <w:r>
            <w:rPr>
              <w:rFonts w:hint="eastAsia"/>
              <w:lang w:val="en-US" w:eastAsia="zh-CN"/>
            </w:rPr>
            <w:t>7</w:t>
          </w:r>
        </w:p>
        <w:p>
          <w:pPr>
            <w:pStyle w:val="30"/>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rPr>
              <w:b/>
              <w:bCs/>
            </w:rPr>
            <w:fldChar w:fldCharType="begin"/>
          </w:r>
          <w:r>
            <w:instrText xml:space="preserve"> HYPERLINK \l _Toc6339_WPSOffice_Level1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47481810"/>
              <w:placeholder>
                <w:docPart w:val="{a738429a-3fa2-4893-8fee-2ed908528334}"/>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第二部分 2021年度单位决算情况说明</w:t>
              </w:r>
            </w:sdtContent>
          </w:sdt>
          <w:r>
            <w:rPr>
              <w:b/>
              <w:bCs/>
            </w:rPr>
            <w:tab/>
          </w:r>
          <w:bookmarkStart w:id="16" w:name="_Toc6339_WPSOffice_Level1Page"/>
          <w:r>
            <w:rPr>
              <w:b/>
              <w:bCs/>
            </w:rPr>
            <w:t>8</w:t>
          </w:r>
          <w:bookmarkEnd w:id="16"/>
          <w:r>
            <w:rPr>
              <w:b/>
              <w:bCs/>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_Toc25686_WPSOffice_Level2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3c6ef2f8-c8fd-49a0-9571-1384fb4f939c}"/>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bookmarkStart w:id="17" w:name="_Toc25686_WPSOffice_Level2Page"/>
          <w:r>
            <w:t>8</w:t>
          </w:r>
          <w:bookmarkEnd w:id="17"/>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_Toc6103_WPSOffice_Level2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a316cb3a-fda3-4c2f-a730-174a610dbfe0}"/>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bookmarkStart w:id="18" w:name="_Toc6103_WPSOffice_Level2Page"/>
          <w:r>
            <w:t>9</w:t>
          </w:r>
          <w:bookmarkEnd w:id="18"/>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_Toc4056_WPSOffice_Level2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7049945f-5225-495a-bbb3-1fc2d7211189}"/>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bookmarkStart w:id="19" w:name="_Toc4056_WPSOffice_Level2Page"/>
          <w:r>
            <w:t>9</w:t>
          </w:r>
          <w:bookmarkEnd w:id="19"/>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_Toc16122_WPSOffice_Level2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fedde52c-1e53-46ae-a325-095fbde2cc40}"/>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0" w:name="_Toc16122_WPSOffice_Level2Page"/>
          <w:r>
            <w:t>10</w:t>
          </w:r>
          <w:bookmarkEnd w:id="20"/>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_Toc16122_WPSOffice_Level2 </w:instrText>
          </w:r>
          <w:r>
            <w:fldChar w:fldCharType="separate"/>
          </w:r>
          <w:sdt>
            <w:sdtPr>
              <w:rPr>
                <w:rFonts w:hint="eastAsia" w:ascii="黑体" w:hAnsi="黑体" w:eastAsia="黑体" w:cstheme="majorBidi"/>
                <w:lang w:val="en-US" w:eastAsia="zh-CN"/>
              </w:rPr>
              <w:id w:val="147481810"/>
              <w:placeholder>
                <w:docPart w:val="{6b5670e3-bae7-463f-8758-d569e5384d29}"/>
              </w:placeholder>
            </w:sdtPr>
            <w:sdtEndPr>
              <w:rPr>
                <w:rFonts w:hint="eastAsia" w:ascii="Times New Roman" w:hAnsi="Times New Roman" w:eastAsia="宋体" w:cs="Times New Roman"/>
                <w:kern w:val="2"/>
                <w:sz w:val="21"/>
                <w:szCs w:val="24"/>
                <w:lang w:val="en-US" w:eastAsia="zh-CN" w:bidi="ar-SA"/>
              </w:rPr>
            </w:sdtEndPr>
            <w:sdtContent>
              <w:r>
                <w:rPr>
                  <w:rFonts w:hint="eastAsia" w:ascii="黑体" w:hAnsi="黑体" w:eastAsia="黑体" w:cstheme="majorBidi"/>
                  <w:lang w:val="en-US" w:eastAsia="zh-CN"/>
                </w:rPr>
                <w:t>五</w:t>
              </w:r>
              <w:r>
                <w:rPr>
                  <w:rFonts w:hint="eastAsia" w:ascii="黑体" w:hAnsi="黑体" w:eastAsia="黑体" w:cstheme="majorBidi"/>
                </w:rPr>
                <w:t>、一般公共预算财政拨款支出决算情况说明</w:t>
              </w:r>
            </w:sdtContent>
          </w:sdt>
          <w:r>
            <w:tab/>
          </w:r>
          <w:r>
            <w:t>10</w:t>
          </w:r>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_Toc16406_WPSOffice_Level2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50b853b3-ad8f-48ae-b508-bb8fc498cc34}"/>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bookmarkStart w:id="21" w:name="_Toc16406_WPSOffice_Level2Page"/>
          <w:r>
            <w:t>15</w:t>
          </w:r>
          <w:bookmarkEnd w:id="21"/>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_Toc21863_WPSOffice_Level2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6e016ea4-014d-49a9-90a3-c00c9ce536a3}"/>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bookmarkStart w:id="22" w:name="_Toc21863_WPSOffice_Level2Page"/>
          <w:r>
            <w:t>16</w:t>
          </w:r>
          <w:bookmarkEnd w:id="22"/>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_Toc16114_WPSOffice_Level2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767fd439-8c97-4782-b331-155f47a8df6c}"/>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bookmarkStart w:id="23" w:name="_Toc16114_WPSOffice_Level2Page"/>
          <w:r>
            <w:t>18</w:t>
          </w:r>
          <w:bookmarkEnd w:id="23"/>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_Toc27529_WPSOffice_Level2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a0f9878a-fcc1-4960-ad8f-968460d260c9}"/>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九、 国有资本经营预算支出决算情况说明</w:t>
              </w:r>
            </w:sdtContent>
          </w:sdt>
          <w:r>
            <w:tab/>
          </w:r>
          <w:bookmarkStart w:id="24" w:name="_Toc27529_WPSOffice_Level2Page"/>
          <w:r>
            <w:t>18</w:t>
          </w:r>
          <w:bookmarkEnd w:id="24"/>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_Toc14606_WPSOffice_Level2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827bead8-c07e-4c33-9c8f-619a362babf8}"/>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十、 其他重要事项的情况说明</w:t>
              </w:r>
            </w:sdtContent>
          </w:sdt>
          <w:r>
            <w:tab/>
          </w:r>
          <w:bookmarkStart w:id="25" w:name="_Toc14606_WPSOffice_Level2Page"/>
          <w:r>
            <w:t>18</w:t>
          </w:r>
          <w:bookmarkEnd w:id="25"/>
          <w: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rPr>
              <w:b/>
              <w:bCs/>
            </w:rPr>
            <w:fldChar w:fldCharType="begin"/>
          </w:r>
          <w:r>
            <w:instrText xml:space="preserve"> HYPERLINK \l _Toc21038_WPSOffice_Level1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47481810"/>
              <w:placeholder>
                <w:docPart w:val="{f1145b0d-c17d-43c7-b78d-6853a4fee98d}"/>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bookmarkStart w:id="26" w:name="_Toc21038_WPSOffice_Level1Page"/>
          <w:r>
            <w:rPr>
              <w:b/>
              <w:bCs/>
            </w:rPr>
            <w:t>20</w:t>
          </w:r>
          <w:bookmarkEnd w:id="26"/>
          <w:r>
            <w:rPr>
              <w:b/>
              <w:bCs/>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rPr>
              <w:b/>
              <w:bCs/>
            </w:rPr>
            <w:fldChar w:fldCharType="begin"/>
          </w:r>
          <w:r>
            <w:instrText xml:space="preserve"> HYPERLINK \l _Toc25686_WPSOffice_Level1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47481810"/>
              <w:placeholder>
                <w:docPart w:val="{548eec40-bdd2-41ab-bd72-22af610c5907}"/>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27" w:name="_Toc25686_WPSOffice_Level1Page"/>
          <w:r>
            <w:rPr>
              <w:b/>
              <w:bCs/>
            </w:rPr>
            <w:t>25</w:t>
          </w:r>
          <w:bookmarkEnd w:id="27"/>
          <w:r>
            <w:rPr>
              <w:b/>
              <w:bCs/>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rPr>
              <w:b/>
              <w:bCs/>
            </w:rPr>
            <w:fldChar w:fldCharType="begin"/>
          </w:r>
          <w:r>
            <w:instrText xml:space="preserve"> HYPERLINK \l _Toc6103_WPSOffice_Level1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47481810"/>
              <w:placeholder>
                <w:docPart w:val="{45c9c4c4-a1e1-4a6d-9a73-778b6f026a8d}"/>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第五部分 附表</w:t>
              </w:r>
            </w:sdtContent>
          </w:sdt>
          <w:r>
            <w:rPr>
              <w:b/>
              <w:bCs/>
            </w:rPr>
            <w:tab/>
          </w:r>
          <w:bookmarkStart w:id="28" w:name="_Toc6103_WPSOffice_Level1Page"/>
          <w:r>
            <w:rPr>
              <w:b/>
              <w:bCs/>
            </w:rPr>
            <w:t>5</w:t>
          </w:r>
          <w:r>
            <w:rPr>
              <w:rFonts w:hint="eastAsia"/>
              <w:b/>
              <w:bCs/>
              <w:lang w:val="en-US" w:eastAsia="zh-CN"/>
            </w:rPr>
            <w:t>3</w:t>
          </w:r>
          <w:bookmarkEnd w:id="28"/>
          <w:r>
            <w:rPr>
              <w:b/>
              <w:bCs/>
            </w:rP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_Toc27086_WPSOffice_Level2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fa0d1230-2326-46ae-9985-f4d0bdf72c45}"/>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一、收入支出决算总表</w:t>
              </w:r>
            </w:sdtContent>
          </w:sdt>
          <w:r>
            <w:tab/>
          </w:r>
          <w:bookmarkStart w:id="29" w:name="_Toc27086_WPSOffice_Level2Page"/>
          <w:r>
            <w:t>53</w:t>
          </w:r>
          <w:bookmarkEnd w:id="29"/>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_Toc4626_WPSOffice_Level2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6826c7e2-a02c-423d-88ac-27733be6c8b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二、收入决算表</w:t>
              </w:r>
            </w:sdtContent>
          </w:sdt>
          <w:r>
            <w:tab/>
          </w:r>
          <w:bookmarkStart w:id="30" w:name="_Toc4626_WPSOffice_Level2Page"/>
          <w:r>
            <w:t>53</w:t>
          </w:r>
          <w:bookmarkEnd w:id="30"/>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_Toc5742_WPSOffice_Level2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5d4dc653-041e-4772-82bb-9593a78cc402}"/>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三、支出决算表</w:t>
              </w:r>
            </w:sdtContent>
          </w:sdt>
          <w:r>
            <w:tab/>
          </w:r>
          <w:bookmarkStart w:id="31" w:name="_Toc5742_WPSOffice_Level2Page"/>
          <w:r>
            <w:t>53</w:t>
          </w:r>
          <w:bookmarkEnd w:id="31"/>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_Toc19416_WPSOffice_Level2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c5f20a87-2218-4d41-abb8-fce246984fe5}"/>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四、财政拨款收入支出决算总表</w:t>
              </w:r>
            </w:sdtContent>
          </w:sdt>
          <w:r>
            <w:tab/>
          </w:r>
          <w:bookmarkStart w:id="32" w:name="_Toc19416_WPSOffice_Level2Page"/>
          <w:r>
            <w:t>53</w:t>
          </w:r>
          <w:bookmarkEnd w:id="32"/>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_Toc30284_WPSOffice_Level2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2b11d6e9-4e8a-4b92-8b0b-1b82ed5fbcf3}"/>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五、财政拨款支出决算明细表</w:t>
              </w:r>
            </w:sdtContent>
          </w:sdt>
          <w:r>
            <w:tab/>
          </w:r>
          <w:bookmarkStart w:id="33" w:name="_Toc30284_WPSOffice_Level2Page"/>
          <w:r>
            <w:t>53</w:t>
          </w:r>
          <w:bookmarkEnd w:id="33"/>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_Toc8261_WPSOffice_Level2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0b26788c-2604-437e-bf6d-334aa9292ec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六、一般公共预算财政拨款支出决算表</w:t>
              </w:r>
            </w:sdtContent>
          </w:sdt>
          <w:r>
            <w:tab/>
          </w:r>
          <w:bookmarkStart w:id="34" w:name="_Toc8261_WPSOffice_Level2Page"/>
          <w:r>
            <w:t>53</w:t>
          </w:r>
          <w:bookmarkEnd w:id="34"/>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_Toc18955_WPSOffice_Level2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359f55ac-83cc-4093-9e80-49b7e74d49e3}"/>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七、一般公共预算财政拨款支出决算明细表</w:t>
              </w:r>
            </w:sdtContent>
          </w:sdt>
          <w:r>
            <w:tab/>
          </w:r>
          <w:bookmarkStart w:id="35" w:name="_Toc18955_WPSOffice_Level2Page"/>
          <w:r>
            <w:t>53</w:t>
          </w:r>
          <w:bookmarkEnd w:id="35"/>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_Toc10904_WPSOffice_Level2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9ee7b25b-53aa-4bf9-a315-6140c942a325}"/>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八、一般公共预算财政拨款基本支出决算表</w:t>
              </w:r>
            </w:sdtContent>
          </w:sdt>
          <w:r>
            <w:tab/>
          </w:r>
          <w:bookmarkStart w:id="36" w:name="_Toc10904_WPSOffice_Level2Page"/>
          <w:r>
            <w:t>53</w:t>
          </w:r>
          <w:bookmarkEnd w:id="36"/>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_Toc12422_WPSOffice_Level2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2b2ef43f-46aa-4080-827a-3cb773e6d64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九、一般公共预算财政拨款项目支出决算表</w:t>
              </w:r>
            </w:sdtContent>
          </w:sdt>
          <w:r>
            <w:tab/>
          </w:r>
          <w:bookmarkStart w:id="37" w:name="_Toc12422_WPSOffice_Level2Page"/>
          <w:r>
            <w:t>53</w:t>
          </w:r>
          <w:bookmarkEnd w:id="37"/>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_Toc9326_WPSOffice_Level2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a5dc78d5-0fd4-47a7-a317-c12b3e4e22d5}"/>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十、一般公共预算财政拨款“三公”经费支出决算表</w:t>
              </w:r>
            </w:sdtContent>
          </w:sdt>
          <w:r>
            <w:tab/>
          </w:r>
          <w:bookmarkStart w:id="38" w:name="_Toc9326_WPSOffice_Level2Page"/>
          <w:r>
            <w:t>53</w:t>
          </w:r>
          <w:bookmarkEnd w:id="38"/>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_Toc588_WPSOffice_Level2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8ed4ae7a-01ee-4c58-912b-53a7ba295a7f}"/>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十一、政府性基金预算财政拨款收入支出决算表</w:t>
              </w:r>
            </w:sdtContent>
          </w:sdt>
          <w:r>
            <w:tab/>
          </w:r>
          <w:bookmarkStart w:id="39" w:name="_Toc588_WPSOffice_Level2Page"/>
          <w:r>
            <w:t>53</w:t>
          </w:r>
          <w:bookmarkEnd w:id="39"/>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_Toc7134_WPSOffice_Level2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92a87042-a988-44ea-a607-98ccc818bb03}"/>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十二、政府性基金预算财政拨款“三公”经费支出决算表</w:t>
              </w:r>
            </w:sdtContent>
          </w:sdt>
          <w:r>
            <w:tab/>
          </w:r>
          <w:bookmarkStart w:id="40" w:name="_Toc7134_WPSOffice_Level2Page"/>
          <w:r>
            <w:t>53</w:t>
          </w:r>
          <w:bookmarkEnd w:id="40"/>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_Toc21976_WPSOffice_Level2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0760ee8d-1dfd-4d68-96c4-ce1643efda1d}"/>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十三、国有资本经营预算财政拨款收入支出决算表</w:t>
              </w:r>
            </w:sdtContent>
          </w:sdt>
          <w:r>
            <w:tab/>
          </w:r>
          <w:bookmarkStart w:id="41" w:name="_Toc21976_WPSOffice_Level2Page"/>
          <w:r>
            <w:t>53</w:t>
          </w:r>
          <w:bookmarkEnd w:id="41"/>
          <w:r>
            <w:fldChar w:fldCharType="end"/>
          </w:r>
        </w:p>
        <w:p>
          <w:pPr>
            <w:pStyle w:val="31"/>
            <w:keepNext w:val="0"/>
            <w:keepLines w:val="0"/>
            <w:pageBreakBefore w:val="0"/>
            <w:tabs>
              <w:tab w:val="right" w:leader="dot" w:pos="8306"/>
            </w:tabs>
            <w:kinsoku/>
            <w:wordWrap/>
            <w:overflowPunct/>
            <w:topLinePunct w:val="0"/>
            <w:autoSpaceDE/>
            <w:autoSpaceDN/>
            <w:bidi w:val="0"/>
            <w:adjustRightInd/>
            <w:snapToGrid/>
            <w:spacing w:line="380" w:lineRule="exact"/>
            <w:textAlignment w:val="auto"/>
          </w:pPr>
          <w:r>
            <w:fldChar w:fldCharType="begin"/>
          </w:r>
          <w:r>
            <w:instrText xml:space="preserve"> HYPERLINK \l _Toc29511_WPSOffice_Level2 </w:instrText>
          </w:r>
          <w:r>
            <w:fldChar w:fldCharType="separate"/>
          </w:r>
          <w:sdt>
            <w:sdtPr>
              <w:rPr>
                <w:rFonts w:ascii="Times New Roman" w:hAnsi="Times New Roman" w:eastAsia="宋体" w:cs="Times New Roman"/>
                <w:kern w:val="2"/>
                <w:sz w:val="21"/>
                <w:szCs w:val="24"/>
                <w:lang w:val="en-US" w:eastAsia="zh-CN" w:bidi="ar-SA"/>
              </w:rPr>
              <w:id w:val="147481810"/>
              <w:placeholder>
                <w:docPart w:val="{d18dd875-c9f1-4d48-82eb-1e3e5082bebe}"/>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十四、国有资本经营预算财政拨款支出决算表</w:t>
              </w:r>
            </w:sdtContent>
          </w:sdt>
          <w:r>
            <w:tab/>
          </w:r>
          <w:bookmarkStart w:id="42" w:name="_Toc29511_WPSOffice_Level2Page"/>
          <w:r>
            <w:t>53</w:t>
          </w:r>
          <w:bookmarkEnd w:id="42"/>
          <w:r>
            <w:fldChar w:fldCharType="end"/>
          </w:r>
          <w:bookmarkEnd w:id="12"/>
        </w:p>
      </w:sdtContent>
    </w:sdt>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bCs/>
          <w:color w:val="auto"/>
          <w:kern w:val="44"/>
          <w:sz w:val="24"/>
          <w:highlight w:val="none"/>
        </w:rPr>
      </w:pPr>
      <w:bookmarkStart w:id="43" w:name="_Toc15396599"/>
      <w:bookmarkStart w:id="44" w:name="_Toc15377196"/>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bookmarkStart w:id="45" w:name="_Toc6764_WPSOffice_Level1"/>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43"/>
      <w:bookmarkEnd w:id="44"/>
      <w:bookmarkEnd w:id="45"/>
    </w:p>
    <w:p>
      <w:pPr>
        <w:widowControl/>
        <w:jc w:val="left"/>
        <w:rPr>
          <w:rFonts w:ascii="黑体" w:eastAsia="黑体"/>
          <w:color w:val="auto"/>
          <w:sz w:val="32"/>
          <w:szCs w:val="32"/>
          <w:highlight w:val="none"/>
        </w:rPr>
      </w:pPr>
    </w:p>
    <w:p>
      <w:pPr>
        <w:pStyle w:val="4"/>
        <w:numPr>
          <w:ilvl w:val="0"/>
          <w:numId w:val="0"/>
        </w:numPr>
        <w:ind w:firstLine="640" w:firstLineChars="200"/>
        <w:rPr>
          <w:rStyle w:val="25"/>
          <w:rFonts w:hint="eastAsia" w:ascii="黑体" w:hAnsi="黑体" w:eastAsia="黑体"/>
          <w:b w:val="0"/>
          <w:bCs w:val="0"/>
          <w:color w:val="auto"/>
          <w:highlight w:val="none"/>
          <w:lang w:eastAsia="zh-CN"/>
        </w:rPr>
      </w:pPr>
      <w:bookmarkStart w:id="46" w:name="_Toc6339_WPSOffice_Level2"/>
      <w:bookmarkStart w:id="47" w:name="_Toc15377197"/>
      <w:bookmarkStart w:id="48" w:name="_Toc15396600"/>
      <w:r>
        <w:rPr>
          <w:rStyle w:val="25"/>
          <w:rFonts w:hint="eastAsia" w:ascii="黑体" w:hAnsi="黑体" w:eastAsia="黑体"/>
          <w:b w:val="0"/>
          <w:bCs w:val="0"/>
          <w:color w:val="auto"/>
          <w:highlight w:val="none"/>
          <w:lang w:eastAsia="zh-CN"/>
        </w:rPr>
        <w:t>一、</w:t>
      </w:r>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bookmarkEnd w:id="46"/>
    </w:p>
    <w:p>
      <w:pPr>
        <w:ind w:firstLine="640" w:firstLineChars="200"/>
        <w:rPr>
          <w:rFonts w:hint="eastAsia"/>
        </w:rPr>
      </w:pPr>
      <w:r>
        <w:rPr>
          <w:rFonts w:hint="eastAsia" w:ascii="仿宋" w:hAnsi="仿宋" w:eastAsia="仿宋"/>
          <w:bCs/>
          <w:color w:val="auto"/>
          <w:sz w:val="32"/>
          <w:szCs w:val="32"/>
          <w:highlight w:val="none"/>
        </w:rPr>
        <w:t>贯彻落实党中央关于应急工作的方针政策和省委的决策部署，在履行职责过程中坚持和加强党对应急工作的集中统一领导。主要职责是：负责应急管理工作，组织和指导各地、各部门应对安全生产类、自然灾害类等突发事件和综合防灾减灾救灾工作。负责安全生产综合监督管理和工矿商贸、煤炭行业安全生产监督管理工作。拟定应急管理、安全生产等政策措施，组织编制</w:t>
      </w:r>
      <w:bookmarkStart w:id="49" w:name="_Toc1494549062_WPSOffice_Level2"/>
      <w:r>
        <w:rPr>
          <w:rFonts w:hint="eastAsia" w:ascii="仿宋" w:hAnsi="仿宋" w:eastAsia="仿宋"/>
          <w:bCs/>
          <w:color w:val="auto"/>
          <w:sz w:val="32"/>
          <w:szCs w:val="32"/>
          <w:highlight w:val="none"/>
        </w:rPr>
        <w:t>应急体系建设、安全生产和综合防灾减灾</w:t>
      </w:r>
      <w:bookmarkEnd w:id="49"/>
      <w:r>
        <w:rPr>
          <w:rFonts w:hint="eastAsia" w:ascii="仿宋" w:hAnsi="仿宋" w:eastAsia="仿宋"/>
          <w:bCs/>
          <w:color w:val="auto"/>
          <w:sz w:val="32"/>
          <w:szCs w:val="32"/>
          <w:highlight w:val="none"/>
        </w:rPr>
        <w:t>规划、起草相关地方性法规、规章草案。负责组织、指导应急预案体系建设，建立完善事故灾害和自然灾害分级应对制度，牵头组织编制综合应急防灾减灾预案和安全生产类、自然灾害类专项预案，负责应急预案衔接工作，组织开展预案演练并落实，推动应急避难设施建设。牵头建立统一的应急管理信息系统。负责组织、指导、协调安全生产类、自然灾害类等突发事件应急救援。统一协调指挥各类应急专业队伍，提请衔接解放军和武警部队参与应急救援工作。按照国家相关政策和省委、省政府相关规定负责消防工作，组织和指导消防监督、火</w:t>
      </w:r>
      <w:bookmarkStart w:id="50" w:name="_Toc1852422838_WPSOffice_Level2"/>
      <w:r>
        <w:rPr>
          <w:rFonts w:hint="eastAsia" w:ascii="仿宋" w:hAnsi="仿宋" w:eastAsia="仿宋"/>
          <w:bCs/>
          <w:color w:val="auto"/>
          <w:sz w:val="32"/>
          <w:szCs w:val="32"/>
          <w:highlight w:val="none"/>
        </w:rPr>
        <w:t>灾预防、火灾扑救等工作。负责自然灾害综合</w:t>
      </w:r>
      <w:bookmarkEnd w:id="50"/>
      <w:r>
        <w:rPr>
          <w:rFonts w:hint="eastAsia" w:ascii="仿宋" w:hAnsi="仿宋" w:eastAsia="仿宋"/>
          <w:bCs/>
          <w:color w:val="auto"/>
          <w:sz w:val="32"/>
          <w:szCs w:val="32"/>
          <w:highlight w:val="none"/>
        </w:rPr>
        <w:t>监测预警工作。负责组织、协调灾害救助工作。依法承担省政府安全生产综合监督管理责任。依法监督检查工矿商贸生产经营单位贯彻执行安全生产法律法规情况及其安全生产条件和有关设备、材料、劳动防护用品的安全生产管理工作。承担煤矿、非煤矿山、危险化学品、非药品类易制毒化学品和烟花爆竹等生产经营单位安全生产准入管理责任。拟定煤炭产业发展计划、准入条件、行业标准并组织实施，按权限审核、上报煤炭项目并负责建设管理。承担煤矿安全生产监督管理责任。依法组织、指导生产安全事故调查处理，监督事故查处和责任追究落实情况。制定应急物资储备和应急救援装备规划并组织实施。负责应急管理、安全生产宣传教育和培训工作。负责职责范围内的职业健康、生态环境保护、审批服务便民化工作。</w:t>
      </w:r>
    </w:p>
    <w:p>
      <w:pPr>
        <w:pStyle w:val="4"/>
        <w:numPr>
          <w:ilvl w:val="0"/>
          <w:numId w:val="0"/>
        </w:numPr>
        <w:ind w:firstLine="640" w:firstLineChars="200"/>
        <w:rPr>
          <w:rFonts w:hint="eastAsia" w:ascii="黑体" w:hAnsi="黑体" w:eastAsia="黑体"/>
          <w:b w:val="0"/>
          <w:color w:val="auto"/>
          <w:highlight w:val="none"/>
          <w:lang w:eastAsia="zh-CN"/>
        </w:rPr>
      </w:pPr>
      <w:bookmarkStart w:id="51" w:name="_Toc21038_WPSOffice_Level2"/>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47"/>
      <w:bookmarkEnd w:id="48"/>
      <w:r>
        <w:rPr>
          <w:rFonts w:hint="eastAsia" w:ascii="黑体" w:hAnsi="黑体" w:eastAsia="黑体"/>
          <w:b w:val="0"/>
          <w:color w:val="auto"/>
          <w:highlight w:val="none"/>
          <w:lang w:eastAsia="zh-CN"/>
        </w:rPr>
        <w:t>完成情况</w:t>
      </w:r>
      <w:bookmarkEnd w:id="51"/>
    </w:p>
    <w:p>
      <w:pPr>
        <w:ind w:firstLine="640" w:firstLineChars="200"/>
        <w:rPr>
          <w:rFonts w:hint="eastAsia" w:ascii="Times New Roman" w:hAnsi="Times New Roman" w:eastAsia="仿宋" w:cs="Times New Roman"/>
          <w:color w:val="auto"/>
          <w:sz w:val="32"/>
        </w:rPr>
      </w:pPr>
      <w:r>
        <w:rPr>
          <w:rFonts w:hint="default" w:ascii="Times New Roman" w:hAnsi="Times New Roman" w:eastAsia="仿宋" w:cs="Times New Roman"/>
          <w:color w:val="auto"/>
          <w:sz w:val="32"/>
        </w:rPr>
        <w:t>2021年，全省应急管理工作坚持以习近平新时代中国特色</w:t>
      </w:r>
      <w:r>
        <w:rPr>
          <w:rFonts w:hint="default" w:ascii="Times New Roman" w:hAnsi="Times New Roman" w:eastAsia="仿宋" w:cs="Times New Roman"/>
          <w:color w:val="auto"/>
          <w:sz w:val="32"/>
          <w:lang w:eastAsia="zh-CN"/>
        </w:rPr>
        <w:t>社会</w:t>
      </w:r>
      <w:r>
        <w:rPr>
          <w:rFonts w:hint="default" w:ascii="Times New Roman" w:hAnsi="Times New Roman" w:eastAsia="仿宋" w:cs="Times New Roman"/>
          <w:color w:val="auto"/>
          <w:sz w:val="32"/>
        </w:rPr>
        <w:t>主义思想为指导，全面贯彻党的十九大和十九届五中、六中全会精神，深入贯彻省委十一届八次、九次、十次全会精神，认真落实省委、省政府和应急管理部决策部署，统筹发展和安全，深入推进体制机制改革，全力防范化解重大安全风险，有效应对处置系列灾害事故，为奋力推动新时代治蜀兴川再上新台阶提供了安全稳定的社会环境。</w:t>
      </w:r>
      <w:r>
        <w:rPr>
          <w:rFonts w:hint="eastAsia" w:ascii="仿宋" w:hAnsi="仿宋" w:eastAsia="仿宋" w:cs="仿宋"/>
          <w:b/>
          <w:sz w:val="32"/>
          <w:szCs w:val="32"/>
        </w:rPr>
        <w:t>主要工作情况：</w:t>
      </w:r>
      <w:r>
        <w:rPr>
          <w:rFonts w:hint="eastAsia" w:ascii="仿宋" w:hAnsi="仿宋" w:eastAsia="仿宋" w:cs="仿宋"/>
          <w:b/>
          <w:sz w:val="32"/>
          <w:szCs w:val="32"/>
          <w:lang w:eastAsia="zh-CN"/>
        </w:rPr>
        <w:t>一是</w:t>
      </w:r>
      <w:r>
        <w:rPr>
          <w:rFonts w:hint="eastAsia" w:ascii="仿宋" w:hAnsi="仿宋" w:eastAsia="仿宋" w:cs="仿宋"/>
          <w:b/>
          <w:sz w:val="32"/>
          <w:szCs w:val="32"/>
          <w:lang w:val="en-US" w:eastAsia="zh-CN"/>
        </w:rPr>
        <w:t>坚决把牢政治方向，持续加强党的建设。</w:t>
      </w:r>
      <w:r>
        <w:rPr>
          <w:rFonts w:hint="eastAsia" w:ascii="Times New Roman" w:hAnsi="Times New Roman" w:eastAsia="仿宋" w:cs="Times New Roman"/>
          <w:color w:val="auto"/>
          <w:sz w:val="32"/>
          <w:lang w:val="en-US" w:eastAsia="zh-CN"/>
        </w:rPr>
        <w:t>始终坚持党的领导，树牢应急管理部门作为政治机关意识，推进全面从严治党向纵深发展，为应急管理事业发展提供坚强的思想和组织保证。</w:t>
      </w:r>
      <w:r>
        <w:rPr>
          <w:rFonts w:hint="eastAsia" w:ascii="仿宋" w:hAnsi="仿宋" w:eastAsia="仿宋" w:cs="仿宋"/>
          <w:b/>
          <w:sz w:val="32"/>
          <w:szCs w:val="32"/>
          <w:lang w:val="en-US" w:eastAsia="zh-CN"/>
        </w:rPr>
        <w:t>二是深化体制机制改革，着力完善应急管理体系。</w:t>
      </w:r>
      <w:r>
        <w:rPr>
          <w:rFonts w:hint="eastAsia" w:ascii="Times New Roman" w:hAnsi="Times New Roman" w:eastAsia="仿宋" w:cs="Times New Roman"/>
          <w:color w:val="auto"/>
          <w:sz w:val="32"/>
          <w:lang w:eastAsia="zh-CN"/>
        </w:rPr>
        <w:t>健全</w:t>
      </w:r>
      <w:r>
        <w:rPr>
          <w:rFonts w:hint="eastAsia" w:ascii="Times New Roman" w:hAnsi="Times New Roman" w:eastAsia="仿宋" w:cs="Times New Roman"/>
          <w:color w:val="auto"/>
          <w:sz w:val="32"/>
        </w:rPr>
        <w:t>完善</w:t>
      </w:r>
      <w:r>
        <w:rPr>
          <w:rFonts w:hint="eastAsia" w:ascii="Times New Roman" w:hAnsi="Times New Roman" w:eastAsia="仿宋" w:cs="Times New Roman"/>
          <w:color w:val="auto"/>
          <w:sz w:val="32"/>
          <w:lang w:eastAsia="zh-CN"/>
        </w:rPr>
        <w:t>应急管理</w:t>
      </w:r>
      <w:r>
        <w:rPr>
          <w:rFonts w:hint="eastAsia" w:ascii="Times New Roman" w:hAnsi="Times New Roman" w:eastAsia="仿宋" w:cs="Times New Roman"/>
          <w:color w:val="auto"/>
          <w:sz w:val="32"/>
        </w:rPr>
        <w:t>体制机制，有力推进应急管理体系和能力现代化。</w:t>
      </w:r>
      <w:r>
        <w:rPr>
          <w:rFonts w:hint="eastAsia" w:ascii="Times New Roman" w:hAnsi="Times New Roman" w:eastAsia="仿宋" w:cs="Times New Roman"/>
          <w:color w:val="auto"/>
          <w:sz w:val="32"/>
          <w:lang w:val="en-US" w:eastAsia="zh-CN"/>
        </w:rPr>
        <w:t>落实</w:t>
      </w:r>
      <w:r>
        <w:rPr>
          <w:rFonts w:hint="eastAsia" w:ascii="Times New Roman" w:hAnsi="Times New Roman" w:eastAsia="仿宋" w:cs="Times New Roman"/>
          <w:color w:val="auto"/>
          <w:sz w:val="32"/>
          <w:lang w:eastAsia="zh-CN"/>
        </w:rPr>
        <w:t>领导班子管理体制改革</w:t>
      </w:r>
      <w:r>
        <w:rPr>
          <w:rFonts w:hint="eastAsia" w:ascii="Times New Roman" w:hAnsi="Times New Roman" w:eastAsia="仿宋" w:cs="Times New Roman"/>
          <w:color w:val="auto"/>
          <w:sz w:val="32"/>
          <w:lang w:val="en-US" w:eastAsia="zh-CN"/>
        </w:rPr>
        <w:t>措施，</w:t>
      </w:r>
      <w:r>
        <w:rPr>
          <w:rFonts w:hint="eastAsia" w:ascii="Times New Roman" w:hAnsi="Times New Roman" w:eastAsia="仿宋" w:cs="Times New Roman"/>
          <w:color w:val="auto"/>
          <w:sz w:val="32"/>
        </w:rPr>
        <w:t>调整森林草原防灭火和防汛抗旱指挥体系</w:t>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t>推进应急管理</w:t>
      </w:r>
      <w:r>
        <w:rPr>
          <w:rFonts w:hint="eastAsia" w:ascii="Times New Roman" w:hAnsi="Times New Roman" w:eastAsia="仿宋" w:cs="Times New Roman"/>
          <w:color w:val="auto"/>
          <w:sz w:val="32"/>
          <w:lang w:eastAsia="zh-CN"/>
        </w:rPr>
        <w:t>综合</w:t>
      </w:r>
      <w:r>
        <w:rPr>
          <w:rFonts w:hint="eastAsia" w:ascii="Times New Roman" w:hAnsi="Times New Roman" w:eastAsia="仿宋" w:cs="Times New Roman"/>
          <w:color w:val="auto"/>
          <w:sz w:val="32"/>
        </w:rPr>
        <w:t>执法体制改革</w:t>
      </w:r>
      <w:r>
        <w:rPr>
          <w:rFonts w:hint="eastAsia" w:ascii="Times New Roman" w:hAnsi="Times New Roman" w:eastAsia="仿宋" w:cs="Times New Roman"/>
          <w:color w:val="auto"/>
          <w:sz w:val="32"/>
          <w:lang w:eastAsia="zh-CN"/>
        </w:rPr>
        <w:t>。</w:t>
      </w:r>
      <w:r>
        <w:rPr>
          <w:rFonts w:hint="eastAsia" w:eastAsia="仿宋" w:cs="Times New Roman"/>
          <w:b/>
          <w:bCs/>
          <w:color w:val="auto"/>
          <w:sz w:val="32"/>
          <w:lang w:eastAsia="zh-CN"/>
        </w:rPr>
        <w:t>三是</w:t>
      </w:r>
      <w:r>
        <w:rPr>
          <w:rFonts w:hint="eastAsia" w:ascii="Times New Roman" w:hAnsi="Times New Roman" w:eastAsia="仿宋" w:cs="Times New Roman"/>
          <w:b/>
          <w:bCs/>
          <w:color w:val="auto"/>
          <w:sz w:val="32"/>
        </w:rPr>
        <w:t>全面防控重大风险，牢牢稳固安全生产基本盘。</w:t>
      </w:r>
      <w:r>
        <w:rPr>
          <w:rFonts w:hint="eastAsia" w:ascii="Times New Roman" w:hAnsi="Times New Roman" w:eastAsia="仿宋" w:cs="Times New Roman"/>
          <w:color w:val="auto"/>
          <w:sz w:val="32"/>
        </w:rPr>
        <w:t>盯紧看牢重点行业领域，坚决确保安全生产工作平稳向好。</w:t>
      </w:r>
      <w:r>
        <w:rPr>
          <w:rFonts w:hint="eastAsia" w:ascii="Times New Roman" w:hAnsi="Times New Roman" w:eastAsia="仿宋" w:cs="Times New Roman"/>
          <w:color w:val="auto"/>
          <w:sz w:val="32"/>
          <w:lang w:val="en-US" w:eastAsia="zh-CN"/>
        </w:rPr>
        <w:t>全省共发生生产安全事故1152起、死亡1135人，同比减少154起、120人，下降11.8%、9.6%，与近两年平均数相比下降19.35%、11.21%，未发生重大及以上生产安全事故。</w:t>
      </w:r>
      <w:r>
        <w:rPr>
          <w:rFonts w:hint="eastAsia" w:eastAsia="仿宋" w:cs="Times New Roman"/>
          <w:b/>
          <w:bCs/>
          <w:color w:val="auto"/>
          <w:sz w:val="32"/>
          <w:lang w:val="en-US" w:eastAsia="zh-CN"/>
        </w:rPr>
        <w:t>四是</w:t>
      </w:r>
      <w:r>
        <w:rPr>
          <w:rFonts w:hint="eastAsia" w:ascii="Times New Roman" w:hAnsi="Times New Roman" w:eastAsia="仿宋" w:cs="Times New Roman"/>
          <w:b/>
          <w:bCs/>
          <w:color w:val="auto"/>
          <w:sz w:val="32"/>
        </w:rPr>
        <w:t>坚持做到标本兼治，统筹抓好森林草原防灭火工作。</w:t>
      </w:r>
      <w:r>
        <w:rPr>
          <w:rFonts w:hint="eastAsia" w:ascii="Times New Roman" w:hAnsi="Times New Roman" w:eastAsia="仿宋" w:cs="Times New Roman"/>
          <w:color w:val="auto"/>
          <w:sz w:val="32"/>
        </w:rPr>
        <w:t>深入推进专项整治，坚决打赢森林草原防</w:t>
      </w:r>
      <w:r>
        <w:rPr>
          <w:rFonts w:hint="eastAsia" w:ascii="Times New Roman" w:hAnsi="Times New Roman" w:eastAsia="仿宋" w:cs="Times New Roman"/>
          <w:color w:val="auto"/>
          <w:sz w:val="32"/>
          <w:lang w:val="en-US" w:eastAsia="zh-CN"/>
        </w:rPr>
        <w:t>灭火翻身仗，没有发生重特大火灾，没有出现人员伤亡，全年火灾发生次数、人为火灾次数、受害森林草原面积同比下降79.6%、85.1%、89.7%，扭转了火灾多发频发被动局面，受到了中央领导充分肯定。</w:t>
      </w:r>
      <w:r>
        <w:rPr>
          <w:rFonts w:hint="eastAsia" w:eastAsia="仿宋" w:cs="Times New Roman"/>
          <w:b/>
          <w:bCs/>
          <w:color w:val="auto"/>
          <w:sz w:val="32"/>
          <w:lang w:val="en-US" w:eastAsia="zh-CN"/>
        </w:rPr>
        <w:t>五是</w:t>
      </w:r>
      <w:r>
        <w:rPr>
          <w:rFonts w:hint="eastAsia" w:ascii="Times New Roman" w:hAnsi="Times New Roman" w:eastAsia="仿宋" w:cs="Times New Roman"/>
          <w:b/>
          <w:bCs/>
          <w:color w:val="auto"/>
          <w:sz w:val="32"/>
        </w:rPr>
        <w:t>切实加强统筹协调，打好防灾减灾救灾攻坚战。</w:t>
      </w:r>
      <w:r>
        <w:rPr>
          <w:rFonts w:hint="eastAsia" w:ascii="Times New Roman" w:hAnsi="Times New Roman" w:eastAsia="仿宋" w:cs="Times New Roman"/>
          <w:color w:val="auto"/>
          <w:sz w:val="32"/>
        </w:rPr>
        <w:t>坚持关口前移、预防为先，做好灾害短临预报预警，启动自然灾害应急响应15次，全力维护了人民群众生命财产安全。统筹灾种主管部门抓好灾</w:t>
      </w:r>
      <w:r>
        <w:rPr>
          <w:rFonts w:hint="eastAsia" w:ascii="Times New Roman" w:hAnsi="Times New Roman" w:eastAsia="仿宋" w:cs="Times New Roman"/>
          <w:color w:val="auto"/>
          <w:sz w:val="32"/>
          <w:lang w:val="en-US" w:eastAsia="zh-CN"/>
        </w:rPr>
        <w:t>害风险综合监测预警，对175个河心洲岛落实了“一岛一策”防范应对措施，会同水利、自然资源等部门累计排查点位100万余处，整治隐患7.2万处，有效降低了灾害风险。二是高效遂行救援任务。规范调度各类救援力量，有力有序有效应对系列灾害事故。“9·16”泸县6.0级地震发生后，组织省市县三级救援力量3800余人快速集结、科学救援，紧急转移7.6万人，集中安置2.7万人,营救被困群众150余人，最大限度减少了灾害损失。迅速应对“9·25”雅安市天全县山洪泥石流灾害，全力搜救失联人员，做好群众转移和善后工作。有效应对了16轮强降雨过程，成功处置渠江、嘉陵江“跑船”等险情，安全转移群众123万人，全省因洪涝和地质灾害死亡失踪人数较2021年下降79.8%。三是加强群众救灾救助。认真履行救灾职能，针对“7·9”洪涝地质灾害和“9·16”泸县地震分别启动灾害救助应急响应，中省预拨救灾资金3亿元，及时调拨帐篷、凉被、棉被、折叠床等3.5万床（顶）救助受灾群众。积极争取国家冬春救助资金物资，全省安排棉被、棉大衣等御寒物资29.9万套，确保受灾困难群众安全温暖过冬。</w:t>
      </w:r>
      <w:r>
        <w:rPr>
          <w:rFonts w:hint="eastAsia" w:eastAsia="仿宋" w:cs="Times New Roman"/>
          <w:b/>
          <w:bCs/>
          <w:color w:val="auto"/>
          <w:sz w:val="32"/>
          <w:lang w:val="en-US" w:eastAsia="zh-CN"/>
        </w:rPr>
        <w:t>六是</w:t>
      </w:r>
      <w:r>
        <w:rPr>
          <w:rFonts w:hint="eastAsia" w:ascii="Times New Roman" w:hAnsi="Times New Roman" w:eastAsia="仿宋" w:cs="Times New Roman"/>
          <w:b/>
          <w:bCs/>
          <w:color w:val="auto"/>
          <w:sz w:val="32"/>
        </w:rPr>
        <w:t>深入推进重点任务，全面提升综合救援能力。</w:t>
      </w:r>
      <w:r>
        <w:rPr>
          <w:rFonts w:hint="eastAsia" w:ascii="Times New Roman" w:hAnsi="Times New Roman" w:eastAsia="仿宋" w:cs="Times New Roman"/>
          <w:color w:val="auto"/>
          <w:sz w:val="32"/>
        </w:rPr>
        <w:t>瞄准“全灾种、大应急”，依托一批重</w:t>
      </w:r>
      <w:r>
        <w:rPr>
          <w:rFonts w:hint="eastAsia" w:ascii="Times New Roman" w:hAnsi="Times New Roman" w:eastAsia="仿宋" w:cs="Times New Roman"/>
          <w:color w:val="auto"/>
          <w:sz w:val="32"/>
          <w:lang w:eastAsia="zh-CN"/>
        </w:rPr>
        <w:t>点项目、重大</w:t>
      </w:r>
      <w:r>
        <w:rPr>
          <w:rFonts w:hint="eastAsia" w:ascii="Times New Roman" w:hAnsi="Times New Roman" w:eastAsia="仿宋" w:cs="Times New Roman"/>
          <w:color w:val="auto"/>
          <w:sz w:val="32"/>
        </w:rPr>
        <w:t>任务，大力提升应急救援能力。</w:t>
      </w:r>
      <w:r>
        <w:rPr>
          <w:rFonts w:hint="eastAsia" w:eastAsia="仿宋" w:cs="Times New Roman"/>
          <w:b/>
          <w:bCs/>
          <w:color w:val="auto"/>
          <w:sz w:val="32"/>
          <w:lang w:eastAsia="zh-CN"/>
        </w:rPr>
        <w:t>七是</w:t>
      </w:r>
      <w:r>
        <w:rPr>
          <w:rFonts w:hint="eastAsia" w:ascii="Times New Roman" w:hAnsi="Times New Roman" w:eastAsia="仿宋" w:cs="Times New Roman"/>
          <w:b/>
          <w:bCs/>
          <w:color w:val="auto"/>
          <w:sz w:val="32"/>
        </w:rPr>
        <w:t>狠抓应急宣传教育，营造安全稳定社会氛围。</w:t>
      </w:r>
      <w:r>
        <w:rPr>
          <w:rFonts w:hint="eastAsia" w:ascii="Times New Roman" w:hAnsi="Times New Roman" w:eastAsia="仿宋" w:cs="Times New Roman"/>
          <w:color w:val="auto"/>
          <w:sz w:val="32"/>
        </w:rPr>
        <w:t>创新宣传方式，深化宣传活动，切实增强群众防灾减灾意识</w:t>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t>提高自救互救能力。一是</w:t>
      </w:r>
      <w:r>
        <w:rPr>
          <w:rFonts w:hint="eastAsia" w:ascii="Times New Roman" w:hAnsi="Times New Roman" w:eastAsia="仿宋" w:cs="Times New Roman"/>
          <w:color w:val="auto"/>
          <w:sz w:val="32"/>
          <w:lang w:eastAsia="zh-CN"/>
        </w:rPr>
        <w:t>扎实做好</w:t>
      </w:r>
      <w:r>
        <w:rPr>
          <w:rFonts w:hint="eastAsia" w:ascii="Times New Roman" w:hAnsi="Times New Roman" w:eastAsia="仿宋" w:cs="Times New Roman"/>
          <w:color w:val="auto"/>
          <w:sz w:val="32"/>
        </w:rPr>
        <w:t>新修改安全生产法学习宣传。开展“新修改安全生产法集中宣传月”系列活动，省、市、县分级组织学习培训，结合安全宣传“五进”活动，组织广大干部群众学习宣传</w:t>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t>全方位解读知识要点</w:t>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t>全省开展相关培训3000余场，培训50万余人。</w:t>
      </w:r>
    </w:p>
    <w:p>
      <w:pPr>
        <w:pStyle w:val="4"/>
        <w:numPr>
          <w:ilvl w:val="0"/>
          <w:numId w:val="0"/>
        </w:numPr>
        <w:ind w:firstLine="640" w:firstLineChars="200"/>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三、机构设置情况</w:t>
      </w:r>
      <w:bookmarkStart w:id="136" w:name="_GoBack"/>
      <w:bookmarkEnd w:id="136"/>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textAlignment w:val="auto"/>
        <w:rPr>
          <w:rFonts w:hint="eastAsia" w:ascii="仿宋" w:hAnsi="仿宋" w:eastAsia="仿宋" w:cs="仿宋"/>
          <w:sz w:val="32"/>
          <w:szCs w:val="32"/>
        </w:rPr>
      </w:pPr>
      <w:r>
        <w:rPr>
          <w:rFonts w:hint="eastAsia" w:ascii="Times New Roman" w:hAnsi="Times New Roman" w:eastAsia="仿宋" w:cs="Times New Roman"/>
          <w:color w:val="auto"/>
          <w:sz w:val="32"/>
          <w:lang w:eastAsia="zh-CN"/>
        </w:rPr>
        <w:t>四川省</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"https://yjt.sc.gov.cn/scyjt/jiguanchushi/2021/10/28/d42cf1a359f04b68b76e72d5ffdcbd96.shtml"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lang w:eastAsia="zh-CN"/>
        </w:rPr>
        <w:t>应急管理厅本级由</w:t>
      </w:r>
      <w:r>
        <w:rPr>
          <w:rFonts w:hint="eastAsia" w:ascii="Times New Roman" w:hAnsi="Times New Roman" w:eastAsia="仿宋" w:cs="Times New Roman"/>
          <w:color w:val="auto"/>
          <w:sz w:val="32"/>
          <w:lang w:val="en-US" w:eastAsia="zh-CN"/>
        </w:rPr>
        <w:t>23个处（室、中心、局）组成，分别是：</w:t>
      </w:r>
      <w:r>
        <w:rPr>
          <w:rFonts w:hint="eastAsia" w:ascii="Times New Roman" w:hAnsi="Times New Roman" w:eastAsia="仿宋" w:cs="Times New Roman"/>
          <w:color w:val="auto"/>
          <w:sz w:val="32"/>
        </w:rPr>
        <w:t>办公室</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"https://yjt.sc.gov.cn/scyjt/jiguanchushi/2021/10/28/dbfb4e6592554ab58da4c868cdb60770.shtml"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应急指挥中心</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"https://yjt.sc.gov.cn/scyjt/jiguanchushi/2021/10/28/67ed5cff1e7b43b3ae5b520a91cfd73d.shtml"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政策法规处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"https://yjt.sc.gov.cn/scyjt/jiguanchushi/2021/10/28/18bef7e44d174a4fb86f8e1b48ccb6ad.shtml"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风险监测与综合减灾处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"https://yjt.sc.gov.cn/scyjt/jiguanchushi/2021/10/28/3e78e21e674648758e299a750b7d4015.shtml"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救援协调与预案管理处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"https://yjt.sc.gov.cn/scyjt/jiguanchushi/2021/10/28/2aee7717cabe4feb9f7af4d7d274295c.shtml"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火灾防治管理处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"https://yjt.sc.gov.cn/scyjt/jiguanchushi/2021/10/28/a8b9efd766614537a2f113e4065c67c0.shtml"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水旱灾害救援处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"https://yjt.sc.gov.cn/scyjt/jiguanchushi/2021/10/28/de25ff1c30b1444b8ebd89bf584c7c4a.shtml"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地震与地质灾害救援处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"https://yjt.sc.gov.cn/scyjt/jiguanchushi/2021/10/28/de65c3fadd3f4dae85d9fa273d73f654.shtml"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安全生产综合协调处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"https://yjt.sc.gov.cn/scyjt/jiguanchushi/2021/10/28/40a38798c3374d7ca4207fa04a425615.shtml"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危险化学品安全监管处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"https://yjt.sc.gov.cn/scyjt/jiguanchushi/2021/10/28/b6913b3621214d3f8f5abf26761ff12e.shtml"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安全生产基础管理处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"https://yjt.sc.gov.cn/scyjt/jiguanchushi/2021/10/28/4a901d1a5f8b409fa0499ef98eec4c73.shtml"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煤炭管理处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"https://yjt.sc.gov.cn/scyjt/jiguanchushi/2021/10/28/e66e6249be06498d9beaa6dd7b77fcf1.shtml"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煤矿安全监管处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"https://yjt.sc.gov.cn/scyjt/jiguanchushi/2021/10/28/e21d3845502e4f60b93f091f60811f72.shtml"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救灾与物资保障处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"https://yjt.sc.gov.cn/scyjt/jiguanchushi/2021/10/28/5eb897efac1b4c9a99683d0d8e5cd1b2.shtml"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调查评估与统计处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"https://yjt.sc.gov.cn/scyjt/jiguanchushi/2021/10/28/c1053cf23d464da28d4c2dfdc392421c.shtml"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宣传动员处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"https://yjt.sc.gov.cn/scyjt/jiguanchushi/2021/10/28/73d1f02c25ba4ee4a91975df8259e600.shtml"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科技与信息化处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"https://yjt.sc.gov.cn/scyjt/jiguanchushi/2021/10/28/2488120c40584d4da605e5ff785a3583.shtml"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行政审批处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"https://yjt.sc.gov.cn/scyjt/jiguanchushi/2021/10/28/e6cbbc7cc7a64101964f60216f003e71.shtml"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规划财务处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"https://yjt.sc.gov.cn/scyjt/jiguanchushi/2021/10/28/a1765d77be8d444fa1a3276c3e5c37a8.shtml"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教育训练处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"https://yjt.sc.gov.cn/scyjt/jiguanchushi/2021/10/28/4d7493c4c9fd46ed97ee8ab8a6726eb9.shtml"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t>人事处</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"https://yjt.sc.gov.cn/scyjt/jiguanchushi/2021/10/28/2f6310ecfa5449f2a8094711b09aedb5.shtml"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机关党委</w:t>
      </w:r>
      <w:r>
        <w:rPr>
          <w:rFonts w:hint="eastAsia" w:ascii="Times New Roman" w:hAnsi="Times New Roman" w:eastAsia="仿宋" w:cs="Times New Roman"/>
          <w:color w:val="auto"/>
          <w:sz w:val="32"/>
        </w:rPr>
        <w:fldChar w:fldCharType="end"/>
      </w:r>
      <w:r>
        <w:rPr>
          <w:rFonts w:hint="eastAsia" w:ascii="Times New Roman" w:hAnsi="Times New Roman" w:eastAsia="仿宋" w:cs="Times New Roman"/>
          <w:color w:val="auto"/>
          <w:sz w:val="32"/>
          <w:lang w:eastAsia="zh-CN"/>
        </w:rPr>
        <w:t>、</w:t>
      </w:r>
      <w:r>
        <w:rPr>
          <w:rFonts w:hint="eastAsia" w:ascii="Times New Roman" w:hAnsi="Times New Roman" w:eastAsia="仿宋" w:cs="Times New Roman"/>
          <w:color w:val="auto"/>
          <w:sz w:val="32"/>
        </w:rPr>
        <w:fldChar w:fldCharType="begin"/>
      </w:r>
      <w:r>
        <w:rPr>
          <w:rFonts w:hint="eastAsia" w:ascii="Times New Roman" w:hAnsi="Times New Roman" w:eastAsia="仿宋" w:cs="Times New Roman"/>
          <w:color w:val="auto"/>
          <w:sz w:val="32"/>
        </w:rPr>
        <w:instrText xml:space="preserve"> HYPERLINK "https://yjt.sc.gov.cn/scyjt/jiguanchushi/2021/10/28/e26791fa0b8541b6997f9d434a9bab9f.shtml" \t "/home/user/Documents\\x/_blank" </w:instrText>
      </w:r>
      <w:r>
        <w:rPr>
          <w:rFonts w:hint="eastAsia" w:ascii="Times New Roman" w:hAnsi="Times New Roman" w:eastAsia="仿宋" w:cs="Times New Roman"/>
          <w:color w:val="auto"/>
          <w:sz w:val="32"/>
        </w:rPr>
        <w:fldChar w:fldCharType="separate"/>
      </w:r>
      <w:r>
        <w:rPr>
          <w:rFonts w:hint="eastAsia" w:ascii="Times New Roman" w:hAnsi="Times New Roman" w:eastAsia="仿宋" w:cs="Times New Roman"/>
          <w:color w:val="auto"/>
          <w:sz w:val="32"/>
        </w:rPr>
        <w:t>综合执法监督局</w:t>
      </w:r>
      <w:r>
        <w:rPr>
          <w:rFonts w:hint="eastAsia" w:ascii="Times New Roman" w:hAnsi="Times New Roman" w:eastAsia="仿宋" w:cs="Times New Roman"/>
          <w:color w:val="auto"/>
          <w:sz w:val="32"/>
        </w:rPr>
        <w:fldChar w:fldCharType="end"/>
      </w:r>
      <w:r>
        <w:rPr>
          <w:rFonts w:hint="eastAsia" w:ascii="仿宋" w:hAnsi="仿宋" w:eastAsia="仿宋" w:cs="仿宋"/>
          <w:i w:val="0"/>
          <w:caps w:val="0"/>
          <w:color w:val="333333"/>
          <w:spacing w:val="0"/>
          <w:sz w:val="32"/>
          <w:szCs w:val="32"/>
          <w:u w:val="none"/>
          <w:lang w:eastAsia="zh-CN"/>
        </w:rPr>
        <w:t>。</w:t>
      </w:r>
    </w:p>
    <w:p>
      <w:pPr>
        <w:pStyle w:val="2"/>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52" w:name="_Toc15377204"/>
      <w:bookmarkStart w:id="53" w:name="_Toc15396602"/>
      <w:bookmarkStart w:id="54" w:name="_Toc6339_WPSOffice_Level1"/>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52"/>
      <w:bookmarkEnd w:id="53"/>
      <w:bookmarkEnd w:id="54"/>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55" w:name="_Toc15377205"/>
      <w:bookmarkStart w:id="56" w:name="_Toc15396603"/>
      <w:bookmarkStart w:id="57" w:name="_Toc25686_WPSOffice_Level2"/>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55"/>
      <w:bookmarkEnd w:id="56"/>
      <w:bookmarkEnd w:id="57"/>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2021年度收、支总计28427.51万元。与2020年相比，收、支总计各增加8015.77万元，增长39%。主要变动原因：一是根据应急能力提升“三年行动”计划安排，追加了2021年度应急救援装备能力提升、四川省应急管理信息系统建设、危险化学品重大危险源监测预警系统（三期）建设等项目；二是追加了国家西南应急救援区域中心建设</w:t>
      </w:r>
      <w:r>
        <w:rPr>
          <w:rFonts w:hint="eastAsia" w:ascii="仿宋" w:hAnsi="仿宋" w:eastAsia="仿宋"/>
          <w:color w:val="auto"/>
          <w:sz w:val="32"/>
          <w:szCs w:val="32"/>
          <w:highlight w:val="none"/>
          <w:lang w:val="en" w:eastAsia="zh-CN"/>
        </w:rPr>
        <w:t>、森林草原防灭火航空消防飞机租赁等项目；三是上年结转项目在</w:t>
      </w:r>
      <w:r>
        <w:rPr>
          <w:rFonts w:hint="eastAsia" w:ascii="仿宋" w:hAnsi="仿宋" w:eastAsia="仿宋"/>
          <w:color w:val="auto"/>
          <w:sz w:val="32"/>
          <w:szCs w:val="32"/>
          <w:highlight w:val="none"/>
          <w:lang w:val="en-US" w:eastAsia="zh-CN"/>
        </w:rPr>
        <w:t>2021年度结项并完成支付。</w:t>
      </w:r>
    </w:p>
    <w:p>
      <w:pPr>
        <w:spacing w:line="600" w:lineRule="exact"/>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
        <w:jc w:val="right"/>
        <w:rPr>
          <w:rFonts w:hint="eastAsia" w:ascii="仿宋" w:hAnsi="仿宋" w:eastAsia="仿宋"/>
          <w:color w:val="auto"/>
          <w:sz w:val="32"/>
          <w:szCs w:val="32"/>
          <w:highlight w:val="none"/>
          <w:lang w:eastAsia="zh-CN"/>
        </w:rPr>
      </w:pPr>
      <w:r>
        <w:drawing>
          <wp:anchor distT="0" distB="0" distL="0" distR="0" simplePos="0" relativeHeight="251658240" behindDoc="0" locked="0" layoutInCell="1" allowOverlap="1">
            <wp:simplePos x="0" y="0"/>
            <wp:positionH relativeFrom="column">
              <wp:posOffset>-3810</wp:posOffset>
            </wp:positionH>
            <wp:positionV relativeFrom="paragraph">
              <wp:posOffset>802640</wp:posOffset>
            </wp:positionV>
            <wp:extent cx="5274310" cy="3076575"/>
            <wp:effectExtent l="5080" t="4445" r="16510" b="5080"/>
            <wp:wrapTopAndBottom/>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lang w:eastAsia="zh-CN"/>
        </w:rPr>
        <w:t>单位：万元</w:t>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58" w:name="_Toc6103_WPSOffice_Level2"/>
      <w:bookmarkStart w:id="59" w:name="_Toc15377206"/>
      <w:bookmarkStart w:id="60"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58"/>
      <w:bookmarkEnd w:id="59"/>
      <w:bookmarkEnd w:id="60"/>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2021年本年收入合计28409.28万元，其中：一般公共预算财政拨款收入27409.28万元，占96.48%；其他收入1000万元，占3.52%。</w:t>
      </w:r>
    </w:p>
    <w:p>
      <w:pPr>
        <w:spacing w:line="600" w:lineRule="exact"/>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
        <w:jc w:val="right"/>
        <w:rPr>
          <w:rFonts w:hint="eastAsia" w:eastAsia="仿宋"/>
          <w:lang w:eastAsia="zh-CN"/>
        </w:rPr>
      </w:pPr>
      <w:r>
        <w:rPr>
          <w:rFonts w:hint="eastAsia" w:ascii="仿宋" w:hAnsi="仿宋" w:eastAsia="仿宋"/>
          <w:color w:val="auto"/>
          <w:sz w:val="32"/>
          <w:szCs w:val="32"/>
          <w:highlight w:val="none"/>
          <w:lang w:eastAsia="zh-CN"/>
        </w:rPr>
        <w:t>单位：万元</w:t>
      </w:r>
    </w:p>
    <w:p>
      <w:pPr>
        <w:spacing w:line="600" w:lineRule="exact"/>
        <w:ind w:firstLine="420" w:firstLineChars="200"/>
        <w:rPr>
          <w:rFonts w:ascii="仿宋_GB2312" w:eastAsia="仿宋_GB2312"/>
          <w:color w:val="auto"/>
          <w:sz w:val="32"/>
          <w:szCs w:val="32"/>
          <w:highlight w:val="none"/>
        </w:rPr>
      </w:pPr>
      <w:r>
        <w:drawing>
          <wp:anchor distT="0" distB="0" distL="0" distR="0" simplePos="0" relativeHeight="251661312" behindDoc="0" locked="0" layoutInCell="1" allowOverlap="1">
            <wp:simplePos x="0" y="0"/>
            <wp:positionH relativeFrom="column">
              <wp:posOffset>-3810</wp:posOffset>
            </wp:positionH>
            <wp:positionV relativeFrom="paragraph">
              <wp:posOffset>143510</wp:posOffset>
            </wp:positionV>
            <wp:extent cx="5274310" cy="2355215"/>
            <wp:effectExtent l="4445" t="4445" r="17145" b="2159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61" w:name="_Toc15377207"/>
      <w:bookmarkStart w:id="62" w:name="_Toc15396605"/>
      <w:bookmarkStart w:id="63" w:name="_Toc4056_WPSOffice_Level2"/>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61"/>
      <w:bookmarkEnd w:id="62"/>
      <w:bookmarkEnd w:id="63"/>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2021年本年支出合计28426.9万元，其中：基本支出5556.64万元，占19.55%；项目支出22870.26万元，占80.45%。</w:t>
      </w:r>
    </w:p>
    <w:p>
      <w:pPr>
        <w:spacing w:line="600" w:lineRule="exact"/>
        <w:jc w:val="center"/>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图3：支出决算结构图</w:t>
      </w:r>
    </w:p>
    <w:p>
      <w:pPr>
        <w:pStyle w:val="2"/>
        <w:jc w:val="right"/>
        <w:rPr>
          <w:rFonts w:hint="eastAsia"/>
          <w:lang w:val="en-US" w:eastAsia="zh-CN"/>
        </w:rPr>
      </w:pPr>
      <w:r>
        <w:drawing>
          <wp:anchor distT="0" distB="0" distL="0" distR="0" simplePos="0" relativeHeight="251667456" behindDoc="0" locked="0" layoutInCell="1" allowOverlap="1">
            <wp:simplePos x="0" y="0"/>
            <wp:positionH relativeFrom="column">
              <wp:posOffset>18415</wp:posOffset>
            </wp:positionH>
            <wp:positionV relativeFrom="paragraph">
              <wp:posOffset>531495</wp:posOffset>
            </wp:positionV>
            <wp:extent cx="5274310" cy="1738630"/>
            <wp:effectExtent l="4445" t="4445" r="17145" b="9525"/>
            <wp:wrapTopAndBottom/>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lang w:val="en-US" w:eastAsia="zh-CN"/>
        </w:rPr>
        <w:t>单位：万元</w:t>
      </w:r>
    </w:p>
    <w:p>
      <w:pPr>
        <w:spacing w:line="600" w:lineRule="exact"/>
        <w:ind w:firstLine="640" w:firstLineChars="200"/>
        <w:outlineLvl w:val="1"/>
        <w:rPr>
          <w:rStyle w:val="25"/>
          <w:rFonts w:ascii="黑体" w:hAnsi="黑体" w:eastAsia="黑体"/>
          <w:b w:val="0"/>
          <w:color w:val="auto"/>
          <w:highlight w:val="none"/>
        </w:rPr>
      </w:pPr>
      <w:bookmarkStart w:id="64" w:name="_Toc15377208"/>
      <w:bookmarkStart w:id="65" w:name="_Toc15396606"/>
      <w:bookmarkStart w:id="66" w:name="_Toc16122_WPSOffice_Level2"/>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64"/>
      <w:bookmarkEnd w:id="65"/>
      <w:bookmarkEnd w:id="66"/>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2021年财政拨款收、支总计27409.28万元。与2020年相比，财政拨款收、支总计各增加7032.54万元，增长34.51%。主要变动原因：一是根据应急能力提升“三年行动”计划安排，追加了2021年度应急救援装备能力提升、四川省应急管理信息系统建设、危险化学品重大危险源监测预警系统（三期）建设等项目；二是追加了国家西南应急救援区域中心建设、森林草原防灭火航空消防飞机租赁等项目；三是上年结转项目在2021年度结项并完成支付。</w:t>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jc w:val="righ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单位：万元</w:t>
      </w:r>
    </w:p>
    <w:p>
      <w:pPr>
        <w:spacing w:line="600" w:lineRule="exact"/>
        <w:ind w:firstLine="640" w:firstLineChars="200"/>
        <w:outlineLvl w:val="1"/>
        <w:rPr>
          <w:rStyle w:val="25"/>
          <w:rFonts w:ascii="黑体" w:hAnsi="黑体" w:eastAsia="黑体"/>
          <w:b w:val="0"/>
          <w:color w:val="auto"/>
          <w:highlight w:val="none"/>
        </w:rPr>
      </w:pPr>
      <w:bookmarkStart w:id="67" w:name="_Toc15396607"/>
      <w:bookmarkStart w:id="68" w:name="_Toc15377209"/>
      <w:r>
        <w:rPr>
          <w:rFonts w:hint="eastAsia" w:ascii="仿宋" w:hAnsi="仿宋" w:eastAsia="仿宋" w:cs="Times New Roman"/>
          <w:color w:val="auto"/>
          <w:sz w:val="32"/>
          <w:szCs w:val="32"/>
          <w:highlight w:val="none"/>
        </w:rPr>
        <w:drawing>
          <wp:anchor distT="0" distB="0" distL="0" distR="0" simplePos="0" relativeHeight="251677696" behindDoc="0" locked="0" layoutInCell="1" allowOverlap="1">
            <wp:simplePos x="0" y="0"/>
            <wp:positionH relativeFrom="column">
              <wp:posOffset>17145</wp:posOffset>
            </wp:positionH>
            <wp:positionV relativeFrom="paragraph">
              <wp:posOffset>66675</wp:posOffset>
            </wp:positionV>
            <wp:extent cx="5274310" cy="2980055"/>
            <wp:effectExtent l="4445" t="4445" r="17145" b="635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67"/>
      <w:bookmarkEnd w:id="68"/>
    </w:p>
    <w:p>
      <w:pPr>
        <w:spacing w:line="600" w:lineRule="exact"/>
        <w:ind w:firstLine="642" w:firstLineChars="200"/>
        <w:outlineLvl w:val="2"/>
        <w:rPr>
          <w:rFonts w:ascii="仿宋" w:hAnsi="仿宋" w:eastAsia="仿宋"/>
          <w:b/>
          <w:color w:val="auto"/>
          <w:sz w:val="32"/>
          <w:szCs w:val="32"/>
          <w:highlight w:val="none"/>
        </w:rPr>
      </w:pPr>
      <w:bookmarkStart w:id="69" w:name="_Toc15377210"/>
      <w:r>
        <w:rPr>
          <w:rFonts w:hint="eastAsia" w:ascii="仿宋" w:hAnsi="仿宋" w:eastAsia="仿宋"/>
          <w:b/>
          <w:color w:val="auto"/>
          <w:sz w:val="32"/>
          <w:szCs w:val="32"/>
          <w:highlight w:val="none"/>
        </w:rPr>
        <w:t>（一）一般公共预算财政拨款支出决算总体情况</w:t>
      </w:r>
      <w:bookmarkEnd w:id="69"/>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2021年一般公共预算财政拨款支出27408.69万元，占本年支出合计的96.42%。与2020年相比，一般公共预算财政拨款支出增加7036.83万元，增长34.54%。主要变动原因：一是根据应急能力提升“三年行动”计划安排，追加了2021年度应急救援装备能力提升、四川省应急管理信息系统建设、危险化学品重大危险源监测预警系统（三期）建设等项目；二是追加了国家西南应急救援区域中心建设、森林草原防灭火航空消防飞机租赁等项目；三是上年结转项目在2021年度结项并完成支付。</w:t>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0" w:firstLineChars="200"/>
        <w:jc w:val="righ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单位：万元</w:t>
      </w:r>
    </w:p>
    <w:p>
      <w:pPr>
        <w:spacing w:line="600" w:lineRule="exact"/>
        <w:ind w:firstLine="420" w:firstLineChars="200"/>
        <w:outlineLvl w:val="2"/>
        <w:rPr>
          <w:rFonts w:ascii="仿宋" w:hAnsi="仿宋" w:eastAsia="仿宋"/>
          <w:b/>
          <w:color w:val="auto"/>
          <w:sz w:val="32"/>
          <w:szCs w:val="32"/>
          <w:highlight w:val="none"/>
        </w:rPr>
      </w:pPr>
      <w:bookmarkStart w:id="70" w:name="_Toc15377211"/>
      <w:r>
        <w:rPr>
          <w:rFonts w:hint="eastAsia" w:ascii="楷体" w:hAnsi="楷体" w:eastAsia="楷体" w:cs="楷体"/>
          <w:b w:val="0"/>
          <w:bCs w:val="0"/>
        </w:rPr>
        <w:drawing>
          <wp:anchor distT="0" distB="0" distL="0" distR="0" simplePos="0" relativeHeight="251693056" behindDoc="0" locked="0" layoutInCell="1" allowOverlap="1">
            <wp:simplePos x="0" y="0"/>
            <wp:positionH relativeFrom="column">
              <wp:posOffset>6350</wp:posOffset>
            </wp:positionH>
            <wp:positionV relativeFrom="paragraph">
              <wp:posOffset>140335</wp:posOffset>
            </wp:positionV>
            <wp:extent cx="5274310" cy="3772535"/>
            <wp:effectExtent l="4445" t="4445" r="17145" b="13970"/>
            <wp:wrapTopAndBottom/>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b/>
          <w:color w:val="auto"/>
          <w:sz w:val="32"/>
          <w:szCs w:val="32"/>
          <w:highlight w:val="none"/>
        </w:rPr>
        <w:t>（二）一般公共预算财政拨款支出决算结构情况</w:t>
      </w:r>
      <w:bookmarkEnd w:id="70"/>
    </w:p>
    <w:p>
      <w:pPr>
        <w:spacing w:line="600" w:lineRule="exact"/>
        <w:ind w:firstLine="640"/>
        <w:rPr>
          <w:rFonts w:hint="eastAsia" w:ascii="仿宋" w:hAnsi="仿宋" w:eastAsia="仿宋"/>
          <w:b/>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27408.69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16.27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394.28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392.66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245.32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住房保障支出</w:t>
      </w:r>
      <w:r>
        <w:rPr>
          <w:rFonts w:hint="eastAsia" w:ascii="仿宋" w:hAnsi="仿宋" w:eastAsia="仿宋"/>
          <w:color w:val="auto"/>
          <w:sz w:val="32"/>
          <w:szCs w:val="32"/>
          <w:highlight w:val="none"/>
          <w:lang w:val="en-US" w:eastAsia="zh-CN"/>
        </w:rPr>
        <w:t>463.48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default" w:ascii="Times New Roman" w:hAnsi="Times New Roman" w:eastAsia="仿宋" w:cs="Times New Roman"/>
          <w:b/>
          <w:bCs/>
          <w:color w:val="000000"/>
          <w:sz w:val="32"/>
          <w:szCs w:val="32"/>
        </w:rPr>
        <w:t>灾害防治及应急管理</w:t>
      </w:r>
      <w:r>
        <w:rPr>
          <w:rFonts w:hint="default" w:ascii="Times New Roman" w:hAnsi="Times New Roman" w:eastAsia="仿宋" w:cs="Times New Roman"/>
          <w:b/>
          <w:sz w:val="32"/>
          <w:szCs w:val="32"/>
        </w:rPr>
        <w:t>（类）</w:t>
      </w:r>
      <w:r>
        <w:rPr>
          <w:rFonts w:hint="default" w:ascii="Times New Roman" w:hAnsi="Times New Roman" w:eastAsia="仿宋" w:cs="Times New Roman"/>
          <w:color w:val="000000"/>
          <w:sz w:val="32"/>
          <w:szCs w:val="32"/>
        </w:rPr>
        <w:t>支出</w:t>
      </w:r>
      <w:r>
        <w:rPr>
          <w:rFonts w:hint="eastAsia" w:eastAsia="仿宋" w:cs="Times New Roman"/>
          <w:color w:val="000000"/>
          <w:sz w:val="32"/>
          <w:szCs w:val="32"/>
          <w:lang w:val="en-US" w:eastAsia="zh-CN"/>
        </w:rPr>
        <w:t>25896.67</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94.48</w:t>
      </w:r>
      <w:r>
        <w:rPr>
          <w:rFonts w:hint="default" w:ascii="Times New Roman" w:hAnsi="Times New Roman" w:eastAsia="仿宋" w:cs="Times New Roman"/>
          <w:color w:val="000000"/>
          <w:sz w:val="32"/>
          <w:szCs w:val="32"/>
        </w:rPr>
        <w:t>%</w:t>
      </w:r>
      <w:r>
        <w:rPr>
          <w:rFonts w:hint="eastAsia" w:eastAsia="仿宋" w:cs="Times New Roman"/>
          <w:color w:val="000000"/>
          <w:sz w:val="32"/>
          <w:szCs w:val="32"/>
          <w:lang w:eastAsia="zh-CN"/>
        </w:rPr>
        <w:t>。</w:t>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0" w:firstLineChars="200"/>
        <w:jc w:val="righ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单位：万元</w:t>
      </w:r>
    </w:p>
    <w:p>
      <w:pPr>
        <w:spacing w:line="600" w:lineRule="exact"/>
        <w:ind w:firstLine="420" w:firstLineChars="200"/>
        <w:outlineLvl w:val="2"/>
        <w:rPr>
          <w:rFonts w:ascii="仿宋" w:hAnsi="仿宋" w:eastAsia="仿宋"/>
          <w:b/>
          <w:color w:val="auto"/>
          <w:sz w:val="32"/>
          <w:szCs w:val="32"/>
          <w:highlight w:val="none"/>
        </w:rPr>
      </w:pPr>
      <w:bookmarkStart w:id="71" w:name="_Toc15377212"/>
      <w:r>
        <w:drawing>
          <wp:anchor distT="0" distB="0" distL="0" distR="0" simplePos="0" relativeHeight="251714560" behindDoc="0" locked="0" layoutInCell="1" allowOverlap="1">
            <wp:simplePos x="0" y="0"/>
            <wp:positionH relativeFrom="column">
              <wp:posOffset>6985</wp:posOffset>
            </wp:positionH>
            <wp:positionV relativeFrom="paragraph">
              <wp:posOffset>188595</wp:posOffset>
            </wp:positionV>
            <wp:extent cx="5274310" cy="3076575"/>
            <wp:effectExtent l="5080" t="4445" r="16510" b="5080"/>
            <wp:wrapTopAndBottom/>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b/>
          <w:color w:val="auto"/>
          <w:sz w:val="32"/>
          <w:szCs w:val="32"/>
          <w:highlight w:val="none"/>
        </w:rPr>
        <w:t>（三）一般公共预算财政拨款支出决算具体情况</w:t>
      </w:r>
      <w:bookmarkEnd w:id="71"/>
    </w:p>
    <w:p>
      <w:pPr>
        <w:spacing w:line="600" w:lineRule="exact"/>
        <w:ind w:firstLine="642" w:firstLineChars="200"/>
        <w:outlineLvl w:val="2"/>
        <w:rPr>
          <w:rFonts w:hint="eastAsia" w:ascii="仿宋" w:hAnsi="仿宋" w:eastAsia="仿宋"/>
          <w:b/>
          <w:color w:val="auto"/>
          <w:sz w:val="32"/>
          <w:szCs w:val="32"/>
          <w:highlight w:val="none"/>
        </w:rPr>
      </w:pPr>
      <w:bookmarkStart w:id="72" w:name="_Toc15377213"/>
      <w:bookmarkStart w:id="73" w:name="_Toc15378460"/>
      <w:bookmarkStart w:id="74"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27408.69万元</w:t>
      </w:r>
      <w:r>
        <w:rPr>
          <w:rFonts w:hint="eastAsia" w:ascii="仿宋" w:hAnsi="仿宋" w:eastAsia="仿宋"/>
          <w:b/>
          <w:color w:val="auto"/>
          <w:sz w:val="32"/>
          <w:szCs w:val="32"/>
          <w:highlight w:val="none"/>
        </w:rPr>
        <w:t>，完成预算</w:t>
      </w:r>
      <w:r>
        <w:rPr>
          <w:rFonts w:hint="eastAsia" w:ascii="仿宋" w:hAnsi="仿宋" w:eastAsia="仿宋"/>
          <w:b/>
          <w:color w:val="auto"/>
          <w:sz w:val="32"/>
          <w:szCs w:val="32"/>
          <w:highlight w:val="none"/>
          <w:lang w:val="en-US" w:eastAsia="zh-CN"/>
        </w:rPr>
        <w:t>38.8</w:t>
      </w:r>
      <w:r>
        <w:rPr>
          <w:rFonts w:hint="eastAsia" w:ascii="仿宋" w:hAnsi="仿宋" w:eastAsia="仿宋"/>
          <w:b/>
          <w:color w:val="auto"/>
          <w:sz w:val="32"/>
          <w:szCs w:val="32"/>
          <w:highlight w:val="none"/>
        </w:rPr>
        <w:t>%。其中：</w:t>
      </w:r>
      <w:bookmarkEnd w:id="72"/>
      <w:bookmarkEnd w:id="73"/>
      <w:bookmarkEnd w:id="74"/>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一般公共服务（类）纪检监察事务（款）大案要案查处（项）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1.27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15.88</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，年中追加的纪检工作经费，根据工作实际开支，结余资金年底被财政收回</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一般公共服务（类）市场监督管理事务（款）一般行政管理事务（项）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2" w:firstLineChars="200"/>
        <w:rPr>
          <w:rFonts w:hint="default" w:ascii="Times New Roman" w:hAnsi="Times New Roman" w:eastAsia="仿宋" w:cs="Times New Roman"/>
          <w:b/>
          <w:sz w:val="32"/>
          <w:szCs w:val="32"/>
        </w:rPr>
      </w:pPr>
      <w:r>
        <w:rPr>
          <w:rStyle w:val="14"/>
          <w:rFonts w:hint="eastAsia" w:eastAsia="仿宋" w:cs="Times New Roman"/>
          <w:bCs/>
          <w:sz w:val="32"/>
          <w:szCs w:val="32"/>
          <w:lang w:val="en-US" w:eastAsia="zh-CN"/>
        </w:rPr>
        <w:t>3</w:t>
      </w:r>
      <w:r>
        <w:rPr>
          <w:rStyle w:val="14"/>
          <w:rFonts w:hint="default" w:ascii="Times New Roman" w:hAnsi="Times New Roman" w:eastAsia="仿宋" w:cs="Times New Roman"/>
          <w:bCs/>
          <w:sz w:val="32"/>
          <w:szCs w:val="32"/>
        </w:rPr>
        <w:t>.</w:t>
      </w:r>
      <w:r>
        <w:rPr>
          <w:rStyle w:val="14"/>
          <w:rFonts w:hint="default" w:ascii="Times New Roman" w:hAnsi="Times New Roman" w:eastAsia="仿宋" w:cs="Times New Roman"/>
          <w:bCs/>
          <w:color w:val="000000"/>
          <w:sz w:val="32"/>
          <w:szCs w:val="32"/>
        </w:rPr>
        <w:t>一般公共服务（类）其他一般公共服务支出（款）其他一般公共服务支出（项）</w:t>
      </w:r>
      <w:r>
        <w:rPr>
          <w:rStyle w:val="14"/>
          <w:rFonts w:hint="default" w:ascii="Times New Roman" w:hAnsi="Times New Roman" w:eastAsia="仿宋" w:cs="Times New Roman"/>
          <w:bCs/>
          <w:sz w:val="32"/>
          <w:szCs w:val="32"/>
        </w:rPr>
        <w:t>:</w:t>
      </w:r>
      <w:r>
        <w:rPr>
          <w:rStyle w:val="14"/>
          <w:rFonts w:hint="default" w:ascii="Times New Roman" w:hAnsi="Times New Roman" w:eastAsia="仿宋" w:cs="Times New Roman"/>
          <w:b w:val="0"/>
          <w:bCs/>
          <w:sz w:val="32"/>
          <w:szCs w:val="32"/>
        </w:rPr>
        <w:t>支出决算为</w:t>
      </w:r>
      <w:r>
        <w:rPr>
          <w:rStyle w:val="14"/>
          <w:rFonts w:hint="eastAsia" w:eastAsia="仿宋" w:cs="Times New Roman"/>
          <w:b w:val="0"/>
          <w:bCs/>
          <w:sz w:val="32"/>
          <w:szCs w:val="32"/>
          <w:lang w:val="en-US" w:eastAsia="zh-CN"/>
        </w:rPr>
        <w:t>11</w:t>
      </w:r>
      <w:r>
        <w:rPr>
          <w:rStyle w:val="14"/>
          <w:rFonts w:hint="default" w:ascii="Times New Roman" w:hAnsi="Times New Roman" w:eastAsia="仿宋" w:cs="Times New Roman"/>
          <w:b w:val="0"/>
          <w:bCs/>
          <w:sz w:val="32"/>
          <w:szCs w:val="32"/>
        </w:rPr>
        <w:t>万元，完成预算100%，决算数等于预算数。</w:t>
      </w:r>
    </w:p>
    <w:p>
      <w:pPr>
        <w:spacing w:line="600" w:lineRule="exact"/>
        <w:ind w:firstLine="642"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4</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教育（类）进修及培训（款）培训支出（项）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394.28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98.57</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，受新冠肺炎疫情影响，个别培训计划未能实施，相关预算经费年底被财政收回。</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5</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社会保障和就业（类）行政事业单位养老支出（款）行政单位离退休（项）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109.89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80.35</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Style w:val="14"/>
          <w:rFonts w:hint="eastAsia" w:ascii="仿宋" w:hAnsi="仿宋" w:eastAsia="仿宋" w:cs="Times New Roman"/>
          <w:b w:val="0"/>
          <w:bCs/>
          <w:color w:val="auto"/>
          <w:sz w:val="32"/>
          <w:szCs w:val="32"/>
          <w:highlight w:val="none"/>
        </w:rPr>
        <w:t>决算数小于预算数的主要原因是</w:t>
      </w:r>
      <w:r>
        <w:rPr>
          <w:rStyle w:val="14"/>
          <w:rFonts w:hint="eastAsia" w:ascii="仿宋" w:hAnsi="仿宋" w:eastAsia="仿宋" w:cs="Times New Roman"/>
          <w:b w:val="0"/>
          <w:bCs/>
          <w:color w:val="auto"/>
          <w:sz w:val="32"/>
          <w:szCs w:val="32"/>
          <w:highlight w:val="none"/>
          <w:lang w:eastAsia="zh-CN"/>
        </w:rPr>
        <w:t>，</w:t>
      </w:r>
      <w:r>
        <w:rPr>
          <w:rStyle w:val="14"/>
          <w:rFonts w:hint="default" w:ascii="仿宋" w:hAnsi="仿宋" w:eastAsia="仿宋" w:cs="Times New Roman"/>
          <w:b w:val="0"/>
          <w:bCs/>
          <w:color w:val="auto"/>
          <w:sz w:val="32"/>
          <w:szCs w:val="32"/>
          <w:highlight w:val="none"/>
        </w:rPr>
        <w:t>结余部分资金年底被财政收回。</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6</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社会保障和就业（类）行政事业单位养老支出（款）机关事业单位基本养老保险缴费支出（项）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bookmarkStart w:id="75" w:name="_Toc1242574451_WPSOffice_Level2"/>
      <w:r>
        <w:rPr>
          <w:rStyle w:val="14"/>
          <w:rFonts w:hint="eastAsia" w:ascii="仿宋" w:hAnsi="仿宋" w:eastAsia="仿宋"/>
          <w:b w:val="0"/>
          <w:bCs/>
          <w:color w:val="auto"/>
          <w:sz w:val="32"/>
          <w:szCs w:val="32"/>
          <w:highlight w:val="none"/>
          <w:lang w:val="en-US" w:eastAsia="zh-CN"/>
        </w:rPr>
        <w:t>255.65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bookmarkEnd w:id="75"/>
      <w:bookmarkStart w:id="76" w:name="_Toc273362640_WPSOffice_Level2"/>
      <w:r>
        <w:rPr>
          <w:rStyle w:val="14"/>
          <w:rFonts w:hint="default" w:ascii="仿宋" w:hAnsi="仿宋" w:eastAsia="仿宋"/>
          <w:b w:val="0"/>
          <w:bCs/>
          <w:color w:val="auto"/>
          <w:sz w:val="32"/>
          <w:szCs w:val="32"/>
          <w:highlight w:val="none"/>
        </w:rPr>
        <w:t>，决算数等于预算数</w:t>
      </w:r>
      <w:r>
        <w:rPr>
          <w:rStyle w:val="14"/>
          <w:rFonts w:hint="default" w:ascii="仿宋" w:hAnsi="仿宋" w:eastAsia="仿宋" w:cs="Times New Roman"/>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bookmarkEnd w:id="76"/>
      <w:r>
        <w:rPr>
          <w:rStyle w:val="14"/>
          <w:rFonts w:hint="eastAsia" w:ascii="仿宋" w:hAnsi="仿宋" w:eastAsia="仿宋"/>
          <w:bCs/>
          <w:color w:val="auto"/>
          <w:sz w:val="32"/>
          <w:szCs w:val="32"/>
          <w:highlight w:val="none"/>
        </w:rPr>
        <w:t>）行政事业单位养老支出（款）机关事业单位职业年金缴</w:t>
      </w:r>
      <w:bookmarkStart w:id="77" w:name="_Toc473671367_WPSOffice_Level2"/>
      <w:r>
        <w:rPr>
          <w:rStyle w:val="14"/>
          <w:rFonts w:hint="eastAsia" w:ascii="仿宋" w:hAnsi="仿宋" w:eastAsia="仿宋"/>
          <w:bCs/>
          <w:color w:val="auto"/>
          <w:sz w:val="32"/>
          <w:szCs w:val="32"/>
          <w:highlight w:val="none"/>
        </w:rPr>
        <w:t>费支出（项）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w:t>
      </w:r>
      <w:bookmarkEnd w:id="77"/>
      <w:r>
        <w:rPr>
          <w:rStyle w:val="14"/>
          <w:rFonts w:hint="eastAsia" w:ascii="仿宋" w:hAnsi="仿宋" w:eastAsia="仿宋"/>
          <w:b w:val="0"/>
          <w:bCs/>
          <w:color w:val="auto"/>
          <w:sz w:val="32"/>
          <w:szCs w:val="32"/>
          <w:highlight w:val="none"/>
        </w:rPr>
        <w:t>为</w:t>
      </w:r>
      <w:r>
        <w:rPr>
          <w:rStyle w:val="14"/>
          <w:rFonts w:hint="eastAsia" w:ascii="仿宋" w:hAnsi="仿宋" w:eastAsia="仿宋"/>
          <w:b w:val="0"/>
          <w:bCs/>
          <w:color w:val="auto"/>
          <w:sz w:val="32"/>
          <w:szCs w:val="32"/>
          <w:highlight w:val="none"/>
          <w:lang w:val="en-US" w:eastAsia="zh-CN"/>
        </w:rPr>
        <w:t>27.12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r>
        <w:rPr>
          <w:rStyle w:val="14"/>
          <w:rFonts w:hint="eastAsia" w:ascii="仿宋" w:hAnsi="仿宋" w:eastAsia="仿宋"/>
          <w:b w:val="0"/>
          <w:bCs/>
          <w:color w:val="auto"/>
          <w:sz w:val="32"/>
          <w:szCs w:val="32"/>
          <w:highlight w:val="none"/>
          <w:lang w:eastAsia="zh-CN"/>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8</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（类）行政事业单位医疗（款）行政单位医疗（项）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214.04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r>
        <w:rPr>
          <w:rStyle w:val="14"/>
          <w:rFonts w:hint="eastAsia" w:ascii="仿宋" w:hAnsi="仿宋" w:eastAsia="仿宋"/>
          <w:b w:val="0"/>
          <w:bCs/>
          <w:color w:val="auto"/>
          <w:sz w:val="32"/>
          <w:szCs w:val="32"/>
          <w:highlight w:val="none"/>
          <w:lang w:eastAsia="zh-CN"/>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9</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（类）行政事业单位医疗（款）公务员医疗补助（项）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31.28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10</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住房保障</w:t>
      </w:r>
      <w:r>
        <w:rPr>
          <w:rStyle w:val="14"/>
          <w:rFonts w:hint="eastAsia" w:ascii="仿宋" w:hAnsi="仿宋" w:eastAsia="仿宋"/>
          <w:bCs/>
          <w:color w:val="auto"/>
          <w:sz w:val="32"/>
          <w:szCs w:val="32"/>
          <w:highlight w:val="none"/>
        </w:rPr>
        <w:t>（类）住房改革支出（款）住房公积金（项）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265.78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r>
        <w:rPr>
          <w:rStyle w:val="14"/>
          <w:rFonts w:hint="default" w:ascii="仿宋" w:hAnsi="仿宋" w:eastAsia="仿宋" w:cs="Times New Roman"/>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11</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住房保障</w:t>
      </w:r>
      <w:r>
        <w:rPr>
          <w:rStyle w:val="14"/>
          <w:rFonts w:hint="eastAsia" w:ascii="仿宋" w:hAnsi="仿宋" w:eastAsia="仿宋"/>
          <w:bCs/>
          <w:color w:val="auto"/>
          <w:sz w:val="32"/>
          <w:szCs w:val="32"/>
          <w:highlight w:val="none"/>
        </w:rPr>
        <w:t>（类）住房改革支出（款）购房补贴（项）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197.7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r>
        <w:rPr>
          <w:rStyle w:val="14"/>
          <w:rFonts w:hint="default" w:ascii="仿宋" w:hAnsi="仿宋" w:eastAsia="仿宋" w:cs="Times New Roman"/>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灾害防治及应急管理（类）应急管理事务（款）行政运行（项）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3069.83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99.87</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w:t>
      </w:r>
      <w:r>
        <w:rPr>
          <w:rStyle w:val="14"/>
          <w:rFonts w:hint="default" w:ascii="仿宋" w:hAnsi="仿宋" w:eastAsia="仿宋" w:cs="Times New Roman"/>
          <w:b w:val="0"/>
          <w:bCs/>
          <w:color w:val="auto"/>
          <w:sz w:val="32"/>
          <w:szCs w:val="32"/>
          <w:highlight w:val="none"/>
        </w:rPr>
        <w:t>结余部分资金年底被财政收回。</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13</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灾害防治及应急管理（类）应急管理事务（款）一般行政管理</w:t>
      </w:r>
      <w:bookmarkStart w:id="78" w:name="_Toc1464623251_WPSOffice_Level1"/>
      <w:r>
        <w:rPr>
          <w:rStyle w:val="14"/>
          <w:rFonts w:hint="eastAsia" w:ascii="仿宋" w:hAnsi="仿宋" w:eastAsia="仿宋"/>
          <w:bCs/>
          <w:color w:val="auto"/>
          <w:sz w:val="32"/>
          <w:szCs w:val="32"/>
          <w:highlight w:val="none"/>
        </w:rPr>
        <w:t>事务（项</w:t>
      </w:r>
      <w:bookmarkEnd w:id="78"/>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5082.53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94.59</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，部分政府采购项目未完成，未支付尾款按规定结转至下年使用。</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14</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灾害防治及应急管理（类）应急管理事务（款）安全监管（项）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99.24</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，采购结余资金年底被财政收回</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15</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灾害防治及应急管理（类）应急管理事务（款）安全生产基础（项）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118.5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97.53</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，采购结余资金年底被财政收回</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16</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灾害防治及应急管理（类）应急管理事务（款）应急救援（项）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6429.24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32.97</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w:t>
      </w:r>
      <w:r>
        <w:rPr>
          <w:rStyle w:val="14"/>
          <w:rFonts w:hint="eastAsia" w:ascii="仿宋" w:hAnsi="仿宋" w:eastAsia="仿宋"/>
          <w:b w:val="0"/>
          <w:bCs/>
          <w:color w:val="auto"/>
          <w:sz w:val="32"/>
          <w:szCs w:val="32"/>
          <w:highlight w:val="none"/>
          <w:lang w:eastAsia="zh-CN"/>
        </w:rPr>
        <w:t>，</w:t>
      </w:r>
      <w:r>
        <w:rPr>
          <w:rStyle w:val="14"/>
          <w:rFonts w:hint="default" w:ascii="Times New Roman" w:hAnsi="Times New Roman" w:eastAsia="仿宋" w:cs="Times New Roman"/>
          <w:b w:val="0"/>
          <w:bCs/>
          <w:color w:val="auto"/>
          <w:sz w:val="32"/>
          <w:szCs w:val="32"/>
        </w:rPr>
        <w:t>一是年中追加政府采购项目，因项目未完成，按规定资金结转至下年使用；二是部分政府采购项目，实际</w:t>
      </w:r>
      <w:r>
        <w:rPr>
          <w:rStyle w:val="14"/>
          <w:rFonts w:hint="eastAsia" w:eastAsia="仿宋" w:cs="Times New Roman"/>
          <w:b w:val="0"/>
          <w:bCs/>
          <w:color w:val="auto"/>
          <w:sz w:val="32"/>
          <w:szCs w:val="32"/>
          <w:lang w:eastAsia="zh-CN"/>
        </w:rPr>
        <w:t>中标</w:t>
      </w:r>
      <w:r>
        <w:rPr>
          <w:rStyle w:val="14"/>
          <w:rFonts w:hint="default" w:ascii="Times New Roman" w:hAnsi="Times New Roman" w:eastAsia="仿宋" w:cs="Times New Roman"/>
          <w:b w:val="0"/>
          <w:bCs/>
          <w:color w:val="auto"/>
          <w:sz w:val="32"/>
          <w:szCs w:val="32"/>
        </w:rPr>
        <w:t>合同金额小于预算金额，</w:t>
      </w:r>
      <w:r>
        <w:rPr>
          <w:rStyle w:val="14"/>
          <w:rFonts w:hint="eastAsia" w:ascii="仿宋" w:hAnsi="仿宋" w:eastAsia="仿宋"/>
          <w:b w:val="0"/>
          <w:bCs/>
          <w:color w:val="auto"/>
          <w:sz w:val="32"/>
          <w:szCs w:val="32"/>
          <w:highlight w:val="none"/>
          <w:lang w:eastAsia="zh-CN"/>
        </w:rPr>
        <w:t>采购结余</w:t>
      </w:r>
      <w:r>
        <w:rPr>
          <w:rStyle w:val="14"/>
          <w:rFonts w:hint="default" w:ascii="Times New Roman" w:hAnsi="Times New Roman" w:eastAsia="仿宋" w:cs="Times New Roman"/>
          <w:b w:val="0"/>
          <w:bCs/>
          <w:color w:val="auto"/>
          <w:sz w:val="32"/>
          <w:szCs w:val="32"/>
        </w:rPr>
        <w:t>资金被财政收回。</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17</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灾害防治及应急管理（类）应急管理事务（款）其他应急管理支出（项）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10928.57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26.99</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，年</w:t>
      </w:r>
      <w:r>
        <w:rPr>
          <w:rStyle w:val="14"/>
          <w:rFonts w:hint="default" w:ascii="Times New Roman" w:hAnsi="Times New Roman" w:eastAsia="仿宋" w:cs="Times New Roman"/>
          <w:b w:val="0"/>
          <w:bCs/>
          <w:color w:val="auto"/>
          <w:sz w:val="32"/>
          <w:szCs w:val="32"/>
        </w:rPr>
        <w:t>中追加政府采购项目，因项目未完成，按规定资金结转至下年使用</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18</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灾害防治及应急管理（类）森林消防事务（款）其他森林消防事务支出（项）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112.00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93.33</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，采购结余资金年底被财政收回</w:t>
      </w:r>
      <w:r>
        <w:rPr>
          <w:rStyle w:val="14"/>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5"/>
          <w:color w:val="auto"/>
          <w:highlight w:val="none"/>
        </w:rPr>
      </w:pPr>
      <w:bookmarkStart w:id="79" w:name="_Toc15396608"/>
      <w:bookmarkStart w:id="80" w:name="_Toc16406_WPSOffice_Level2"/>
      <w:bookmarkStart w:id="81"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79"/>
      <w:bookmarkEnd w:id="80"/>
      <w:bookmarkEnd w:id="81"/>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5556.64</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3590.1</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1966.54</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color w:val="auto"/>
          <w:highlight w:val="none"/>
        </w:rPr>
      </w:pPr>
      <w:bookmarkStart w:id="82" w:name="_Toc15396609"/>
      <w:bookmarkStart w:id="83" w:name="_Toc21863_WPSOffice_Level2"/>
      <w:bookmarkStart w:id="84" w:name="_Toc15377215"/>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82"/>
      <w:bookmarkEnd w:id="83"/>
      <w:bookmarkEnd w:id="84"/>
    </w:p>
    <w:p>
      <w:pPr>
        <w:spacing w:line="600" w:lineRule="exact"/>
        <w:ind w:firstLine="640"/>
        <w:outlineLvl w:val="2"/>
        <w:rPr>
          <w:rFonts w:ascii="仿宋" w:hAnsi="仿宋" w:eastAsia="仿宋"/>
          <w:b/>
          <w:color w:val="auto"/>
          <w:sz w:val="32"/>
          <w:szCs w:val="32"/>
          <w:highlight w:val="none"/>
        </w:rPr>
      </w:pPr>
      <w:bookmarkStart w:id="85" w:name="_Toc15377216"/>
      <w:r>
        <w:rPr>
          <w:rFonts w:hint="eastAsia" w:ascii="仿宋" w:hAnsi="仿宋" w:eastAsia="仿宋"/>
          <w:b/>
          <w:color w:val="auto"/>
          <w:sz w:val="32"/>
          <w:szCs w:val="32"/>
          <w:highlight w:val="none"/>
        </w:rPr>
        <w:t>（一）“三公”经费财政拨款支出决算总体情况说明</w:t>
      </w:r>
      <w:bookmarkEnd w:id="85"/>
    </w:p>
    <w:p>
      <w:pPr>
        <w:spacing w:line="60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107.2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90.85</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，严格执行中央八项规定精神和省委省政府十项规定，坚持厉行节约，压减“三公”经费开支。</w:t>
      </w:r>
    </w:p>
    <w:p>
      <w:pPr>
        <w:spacing w:line="600" w:lineRule="exact"/>
        <w:ind w:firstLine="640"/>
        <w:outlineLvl w:val="2"/>
        <w:rPr>
          <w:rFonts w:ascii="仿宋" w:hAnsi="仿宋" w:eastAsia="仿宋"/>
          <w:b/>
          <w:color w:val="auto"/>
          <w:sz w:val="32"/>
          <w:szCs w:val="32"/>
          <w:highlight w:val="none"/>
        </w:rPr>
      </w:pPr>
      <w:bookmarkStart w:id="86" w:name="_Toc15377217"/>
      <w:r>
        <w:rPr>
          <w:rFonts w:hint="eastAsia" w:ascii="仿宋" w:hAnsi="仿宋" w:eastAsia="仿宋"/>
          <w:b/>
          <w:color w:val="auto"/>
          <w:sz w:val="32"/>
          <w:szCs w:val="32"/>
          <w:highlight w:val="none"/>
        </w:rPr>
        <w:t>（二）“三公”经费财政拨款支出决算具体情况说明</w:t>
      </w:r>
      <w:bookmarkEnd w:id="86"/>
    </w:p>
    <w:p>
      <w:pPr>
        <w:spacing w:line="60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103.4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96.46</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3.54</w:t>
      </w:r>
      <w:r>
        <w:rPr>
          <w:rFonts w:hint="eastAsia" w:ascii="仿宋" w:hAnsi="仿宋" w:eastAsia="仿宋"/>
          <w:color w:val="auto"/>
          <w:sz w:val="32"/>
          <w:szCs w:val="32"/>
          <w:highlight w:val="none"/>
        </w:rPr>
        <w:t>%。具体情况如下：</w:t>
      </w:r>
    </w:p>
    <w:p>
      <w:pPr>
        <w:spacing w:line="600" w:lineRule="exact"/>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Style w:val="2"/>
        <w:jc w:val="right"/>
        <w:rPr>
          <w:rFonts w:hint="eastAsia" w:eastAsia="仿宋"/>
          <w:lang w:eastAsia="zh-CN"/>
        </w:rPr>
      </w:pPr>
      <w:r>
        <w:rPr>
          <w:rFonts w:hint="eastAsia" w:ascii="仿宋" w:hAnsi="仿宋" w:eastAsia="仿宋" w:cs="仿宋"/>
        </w:rPr>
        <w:drawing>
          <wp:anchor distT="0" distB="0" distL="0" distR="0" simplePos="0" relativeHeight="251743232" behindDoc="0" locked="0" layoutInCell="1" allowOverlap="1">
            <wp:simplePos x="0" y="0"/>
            <wp:positionH relativeFrom="column">
              <wp:posOffset>16510</wp:posOffset>
            </wp:positionH>
            <wp:positionV relativeFrom="paragraph">
              <wp:posOffset>551815</wp:posOffset>
            </wp:positionV>
            <wp:extent cx="5274310" cy="1862455"/>
            <wp:effectExtent l="4445" t="4445" r="17145" b="1905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lang w:eastAsia="zh-CN"/>
        </w:rPr>
        <w:t>单位：万元</w:t>
      </w:r>
    </w:p>
    <w:p>
      <w:pPr>
        <w:spacing w:line="600" w:lineRule="exact"/>
        <w:ind w:firstLine="64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1.因公出国（境）经费支出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Style w:val="14"/>
          <w:rFonts w:hint="eastAsia" w:ascii="仿宋" w:hAnsi="仿宋" w:eastAsia="仿宋" w:cs="仿宋"/>
          <w:b w:val="0"/>
          <w:bCs/>
          <w:color w:val="auto"/>
          <w:sz w:val="32"/>
          <w:szCs w:val="32"/>
          <w:highlight w:val="none"/>
        </w:rPr>
        <w:t>完成预算</w:t>
      </w:r>
      <w:r>
        <w:rPr>
          <w:rStyle w:val="14"/>
          <w:rFonts w:hint="eastAsia" w:ascii="仿宋" w:hAnsi="仿宋" w:eastAsia="仿宋" w:cs="仿宋"/>
          <w:b w:val="0"/>
          <w:bCs/>
          <w:color w:val="auto"/>
          <w:sz w:val="32"/>
          <w:szCs w:val="32"/>
          <w:highlight w:val="none"/>
          <w:lang w:val="en-US" w:eastAsia="zh-CN"/>
        </w:rPr>
        <w:t>0</w:t>
      </w:r>
      <w:r>
        <w:rPr>
          <w:rStyle w:val="14"/>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全年安排因公出国（境）团组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次，出国（境）</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人。因公出国（境）支出决算</w:t>
      </w:r>
      <w:r>
        <w:rPr>
          <w:rFonts w:hint="eastAsia" w:ascii="仿宋" w:hAnsi="仿宋" w:eastAsia="仿宋" w:cs="仿宋"/>
          <w:color w:val="auto"/>
          <w:sz w:val="32"/>
          <w:szCs w:val="32"/>
          <w:highlight w:val="none"/>
          <w:lang w:eastAsia="zh-CN"/>
        </w:rPr>
        <w:t>与</w:t>
      </w: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一致</w:t>
      </w:r>
      <w:r>
        <w:rPr>
          <w:rFonts w:hint="eastAsia" w:ascii="仿宋" w:hAnsi="仿宋" w:eastAsia="仿宋" w:cs="仿宋"/>
          <w:color w:val="auto"/>
          <w:sz w:val="32"/>
          <w:szCs w:val="32"/>
          <w:highlight w:val="none"/>
        </w:rPr>
        <w:t>。</w:t>
      </w:r>
    </w:p>
    <w:p>
      <w:pPr>
        <w:spacing w:line="600" w:lineRule="exact"/>
        <w:ind w:firstLine="64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2.公务用车购置及运行维护费支出</w:t>
      </w:r>
      <w:r>
        <w:rPr>
          <w:rFonts w:hint="eastAsia" w:ascii="仿宋" w:hAnsi="仿宋" w:eastAsia="仿宋" w:cs="仿宋"/>
          <w:color w:val="auto"/>
          <w:sz w:val="32"/>
          <w:szCs w:val="32"/>
          <w:highlight w:val="none"/>
          <w:lang w:val="en-US" w:eastAsia="zh-CN"/>
        </w:rPr>
        <w:t>103.4</w:t>
      </w:r>
      <w:r>
        <w:rPr>
          <w:rFonts w:hint="eastAsia" w:ascii="仿宋" w:hAnsi="仿宋" w:eastAsia="仿宋" w:cs="仿宋"/>
          <w:color w:val="auto"/>
          <w:sz w:val="32"/>
          <w:szCs w:val="32"/>
          <w:highlight w:val="none"/>
        </w:rPr>
        <w:t>万元,</w:t>
      </w:r>
      <w:r>
        <w:rPr>
          <w:rStyle w:val="14"/>
          <w:rFonts w:hint="eastAsia" w:ascii="仿宋" w:hAnsi="仿宋" w:eastAsia="仿宋" w:cs="仿宋"/>
          <w:b w:val="0"/>
          <w:bCs/>
          <w:color w:val="auto"/>
          <w:sz w:val="32"/>
          <w:szCs w:val="32"/>
          <w:highlight w:val="none"/>
        </w:rPr>
        <w:t>完成预算</w:t>
      </w:r>
      <w:r>
        <w:rPr>
          <w:rStyle w:val="14"/>
          <w:rFonts w:hint="eastAsia" w:ascii="仿宋" w:hAnsi="仿宋" w:eastAsia="仿宋" w:cs="仿宋"/>
          <w:b w:val="0"/>
          <w:bCs/>
          <w:color w:val="auto"/>
          <w:sz w:val="32"/>
          <w:szCs w:val="32"/>
          <w:highlight w:val="none"/>
          <w:lang w:val="en-US" w:eastAsia="zh-CN"/>
        </w:rPr>
        <w:t>99.42</w:t>
      </w:r>
      <w:r>
        <w:rPr>
          <w:rStyle w:val="14"/>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公务用车购置及运行维护费支出决算比20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年减少</w:t>
      </w:r>
      <w:r>
        <w:rPr>
          <w:rFonts w:hint="eastAsia" w:ascii="仿宋" w:hAnsi="仿宋" w:eastAsia="仿宋" w:cs="仿宋"/>
          <w:color w:val="auto"/>
          <w:sz w:val="32"/>
          <w:szCs w:val="32"/>
          <w:highlight w:val="none"/>
          <w:lang w:val="en-US" w:eastAsia="zh-CN"/>
        </w:rPr>
        <w:t>13.6</w:t>
      </w:r>
      <w:r>
        <w:rPr>
          <w:rFonts w:hint="eastAsia" w:ascii="仿宋" w:hAnsi="仿宋" w:eastAsia="仿宋" w:cs="仿宋"/>
          <w:color w:val="auto"/>
          <w:sz w:val="32"/>
          <w:szCs w:val="32"/>
          <w:highlight w:val="none"/>
        </w:rPr>
        <w:t>万元，下降</w:t>
      </w:r>
      <w:r>
        <w:rPr>
          <w:rFonts w:hint="eastAsia" w:ascii="仿宋" w:hAnsi="仿宋" w:eastAsia="仿宋" w:cs="仿宋"/>
          <w:color w:val="auto"/>
          <w:sz w:val="32"/>
          <w:szCs w:val="32"/>
          <w:highlight w:val="none"/>
          <w:lang w:val="en-US" w:eastAsia="zh-CN"/>
        </w:rPr>
        <w:t>11.62</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坚持厉行节约，从严控制公务用车运行维护经费开支</w:t>
      </w:r>
      <w:r>
        <w:rPr>
          <w:rFonts w:hint="eastAsia" w:ascii="仿宋" w:hAnsi="仿宋" w:eastAsia="仿宋" w:cs="仿宋"/>
          <w:color w:val="auto"/>
          <w:sz w:val="32"/>
          <w:szCs w:val="32"/>
          <w:highlight w:val="none"/>
        </w:rPr>
        <w:t>。</w:t>
      </w:r>
    </w:p>
    <w:p>
      <w:pPr>
        <w:spacing w:line="600" w:lineRule="exact"/>
        <w:ind w:firstLine="640" w:firstLineChars="200"/>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其中：</w:t>
      </w:r>
      <w:r>
        <w:rPr>
          <w:rFonts w:hint="eastAsia" w:ascii="仿宋" w:hAnsi="仿宋" w:eastAsia="仿宋" w:cs="仿宋"/>
          <w:b/>
          <w:color w:val="auto"/>
          <w:sz w:val="32"/>
          <w:szCs w:val="32"/>
          <w:highlight w:val="none"/>
        </w:rPr>
        <w:t>公务用车购置支出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万元。全年按规定更新购置公务用车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辆，其中：轿车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万元，越野车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万元，载客汽车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万元。截至20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年12月底，单位共有公务用车</w:t>
      </w:r>
      <w:r>
        <w:rPr>
          <w:rFonts w:hint="eastAsia" w:ascii="仿宋" w:hAnsi="仿宋" w:eastAsia="仿宋" w:cs="仿宋"/>
          <w:color w:val="auto"/>
          <w:sz w:val="32"/>
          <w:szCs w:val="32"/>
          <w:highlight w:val="none"/>
          <w:lang w:val="en-US" w:eastAsia="zh-CN"/>
        </w:rPr>
        <w:t>23</w:t>
      </w:r>
      <w:r>
        <w:rPr>
          <w:rFonts w:hint="eastAsia" w:ascii="仿宋" w:hAnsi="仿宋" w:eastAsia="仿宋" w:cs="仿宋"/>
          <w:color w:val="auto"/>
          <w:sz w:val="32"/>
          <w:szCs w:val="32"/>
          <w:highlight w:val="none"/>
        </w:rPr>
        <w:t>辆，其中：轿车</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商务车</w:t>
      </w:r>
      <w:r>
        <w:rPr>
          <w:rFonts w:hint="eastAsia" w:ascii="仿宋" w:hAnsi="仿宋" w:eastAsia="仿宋" w:cs="仿宋"/>
          <w:color w:val="auto"/>
          <w:sz w:val="32"/>
          <w:szCs w:val="32"/>
          <w:highlight w:val="none"/>
          <w:lang w:val="en-US" w:eastAsia="zh-CN"/>
        </w:rPr>
        <w:t>3辆、</w:t>
      </w:r>
      <w:r>
        <w:rPr>
          <w:rFonts w:hint="eastAsia" w:ascii="仿宋" w:hAnsi="仿宋" w:eastAsia="仿宋" w:cs="仿宋"/>
          <w:color w:val="auto"/>
          <w:sz w:val="32"/>
          <w:szCs w:val="32"/>
          <w:highlight w:val="none"/>
        </w:rPr>
        <w:t>越野车</w:t>
      </w: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辆、载客汽车</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、其他车辆</w:t>
      </w:r>
      <w:r>
        <w:rPr>
          <w:rFonts w:hint="eastAsia" w:ascii="仿宋" w:hAnsi="仿宋" w:eastAsia="仿宋" w:cs="仿宋"/>
          <w:color w:val="auto"/>
          <w:sz w:val="32"/>
          <w:szCs w:val="32"/>
          <w:highlight w:val="none"/>
          <w:lang w:val="en-US" w:eastAsia="zh-CN"/>
        </w:rPr>
        <w:t>2辆</w:t>
      </w:r>
      <w:r>
        <w:rPr>
          <w:rFonts w:hint="eastAsia" w:ascii="仿宋" w:hAnsi="仿宋" w:eastAsia="仿宋" w:cs="仿宋"/>
          <w:color w:val="auto"/>
          <w:sz w:val="32"/>
          <w:szCs w:val="32"/>
          <w:highlight w:val="none"/>
        </w:rPr>
        <w:t>。</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公务用车运行维护费支出</w:t>
      </w:r>
      <w:r>
        <w:rPr>
          <w:rFonts w:hint="eastAsia" w:ascii="仿宋" w:hAnsi="仿宋" w:eastAsia="仿宋" w:cs="仿宋"/>
          <w:color w:val="auto"/>
          <w:sz w:val="32"/>
          <w:szCs w:val="32"/>
          <w:highlight w:val="none"/>
          <w:lang w:val="en-US" w:eastAsia="zh-CN"/>
        </w:rPr>
        <w:t>103.4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主要用于安全生产类和自然灾害类等突发事件的应急救援、安全生产监管监察、安全执法等所需的公务用车燃料费、维修费、过路过桥费、保险费等支出</w:t>
      </w:r>
      <w:r>
        <w:rPr>
          <w:rFonts w:hint="eastAsia" w:ascii="仿宋" w:hAnsi="仿宋" w:eastAsia="仿宋" w:cs="仿宋"/>
          <w:color w:val="auto"/>
          <w:sz w:val="32"/>
          <w:szCs w:val="32"/>
          <w:highlight w:val="none"/>
        </w:rPr>
        <w:t>。</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3.公务接待费支出</w:t>
      </w:r>
      <w:r>
        <w:rPr>
          <w:rFonts w:hint="eastAsia" w:ascii="仿宋" w:hAnsi="仿宋" w:eastAsia="仿宋" w:cs="仿宋"/>
          <w:color w:val="auto"/>
          <w:sz w:val="32"/>
          <w:szCs w:val="32"/>
          <w:highlight w:val="none"/>
          <w:lang w:val="en-US" w:eastAsia="zh-CN"/>
        </w:rPr>
        <w:t>3.8</w:t>
      </w:r>
      <w:r>
        <w:rPr>
          <w:rFonts w:hint="eastAsia" w:ascii="仿宋" w:hAnsi="仿宋" w:eastAsia="仿宋" w:cs="仿宋"/>
          <w:color w:val="auto"/>
          <w:sz w:val="32"/>
          <w:szCs w:val="32"/>
          <w:highlight w:val="none"/>
        </w:rPr>
        <w:t>万元，</w:t>
      </w:r>
      <w:r>
        <w:rPr>
          <w:rStyle w:val="14"/>
          <w:rFonts w:hint="eastAsia" w:ascii="仿宋" w:hAnsi="仿宋" w:eastAsia="仿宋" w:cs="仿宋"/>
          <w:b w:val="0"/>
          <w:bCs/>
          <w:color w:val="auto"/>
          <w:sz w:val="32"/>
          <w:szCs w:val="32"/>
          <w:highlight w:val="none"/>
        </w:rPr>
        <w:t>完成预算</w:t>
      </w:r>
      <w:r>
        <w:rPr>
          <w:rStyle w:val="14"/>
          <w:rFonts w:hint="eastAsia" w:ascii="仿宋" w:hAnsi="仿宋" w:eastAsia="仿宋" w:cs="仿宋"/>
          <w:b w:val="0"/>
          <w:bCs/>
          <w:color w:val="auto"/>
          <w:sz w:val="32"/>
          <w:szCs w:val="32"/>
          <w:highlight w:val="none"/>
          <w:lang w:val="en-US" w:eastAsia="zh-CN"/>
        </w:rPr>
        <w:t>27.14</w:t>
      </w:r>
      <w:r>
        <w:rPr>
          <w:rStyle w:val="14"/>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公务接待费支出决算比20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年增加</w:t>
      </w:r>
      <w:r>
        <w:rPr>
          <w:rFonts w:hint="eastAsia" w:ascii="仿宋" w:hAnsi="仿宋" w:eastAsia="仿宋" w:cs="仿宋"/>
          <w:color w:val="auto"/>
          <w:sz w:val="32"/>
          <w:szCs w:val="32"/>
          <w:highlight w:val="none"/>
          <w:lang w:val="en-US" w:eastAsia="zh-CN"/>
        </w:rPr>
        <w:t>0.94</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32.87</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eastAsia="zh-CN"/>
        </w:rPr>
        <w:t>：一是接待上级单位检查指导、考察调研、执行任务，兄弟单位学习交流等情况较上年有所增加，导致相应费用有所增长。二是因上年公务接待基数较小，导致增长比例较大，实际增长额</w:t>
      </w:r>
      <w:r>
        <w:rPr>
          <w:rFonts w:hint="eastAsia" w:ascii="仿宋" w:hAnsi="仿宋" w:eastAsia="仿宋" w:cs="仿宋"/>
          <w:color w:val="auto"/>
          <w:sz w:val="32"/>
          <w:szCs w:val="32"/>
          <w:highlight w:val="none"/>
          <w:lang w:val="en-US" w:eastAsia="zh-CN"/>
        </w:rPr>
        <w:t>0.94</w:t>
      </w:r>
      <w:r>
        <w:rPr>
          <w:rFonts w:hint="eastAsia" w:ascii="仿宋" w:hAnsi="仿宋" w:eastAsia="仿宋" w:cs="仿宋"/>
          <w:color w:val="auto"/>
          <w:sz w:val="32"/>
          <w:szCs w:val="32"/>
          <w:highlight w:val="none"/>
          <w:lang w:eastAsia="zh-CN"/>
        </w:rPr>
        <w:t>万元</w:t>
      </w:r>
      <w:r>
        <w:rPr>
          <w:rFonts w:hint="eastAsia" w:ascii="仿宋" w:hAnsi="仿宋" w:eastAsia="仿宋" w:cs="仿宋"/>
          <w:color w:val="auto"/>
          <w:sz w:val="32"/>
          <w:szCs w:val="32"/>
          <w:highlight w:val="none"/>
        </w:rPr>
        <w:t>。其中：</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国内公务接待支出</w:t>
      </w:r>
      <w:r>
        <w:rPr>
          <w:rFonts w:hint="eastAsia" w:ascii="仿宋" w:hAnsi="仿宋" w:eastAsia="仿宋" w:cs="仿宋"/>
          <w:color w:val="auto"/>
          <w:sz w:val="32"/>
          <w:szCs w:val="32"/>
          <w:highlight w:val="none"/>
          <w:lang w:val="en-US" w:eastAsia="zh-CN"/>
        </w:rPr>
        <w:t>3.8</w:t>
      </w:r>
      <w:r>
        <w:rPr>
          <w:rFonts w:hint="eastAsia" w:ascii="仿宋" w:hAnsi="仿宋" w:eastAsia="仿宋" w:cs="仿宋"/>
          <w:color w:val="auto"/>
          <w:sz w:val="32"/>
          <w:szCs w:val="32"/>
          <w:highlight w:val="none"/>
        </w:rPr>
        <w:t>万元，主要用于执行公务、开展业务活动开支的交通费、住宿费、用餐费等。国内公务接待</w:t>
      </w:r>
      <w:r>
        <w:rPr>
          <w:rFonts w:hint="eastAsia" w:ascii="仿宋" w:hAnsi="仿宋" w:eastAsia="仿宋" w:cs="仿宋"/>
          <w:color w:val="auto"/>
          <w:sz w:val="32"/>
          <w:szCs w:val="32"/>
          <w:highlight w:val="none"/>
          <w:lang w:val="en-US" w:eastAsia="zh-CN"/>
        </w:rPr>
        <w:t>27</w:t>
      </w:r>
      <w:r>
        <w:rPr>
          <w:rFonts w:hint="eastAsia" w:ascii="仿宋" w:hAnsi="仿宋" w:eastAsia="仿宋" w:cs="仿宋"/>
          <w:color w:val="auto"/>
          <w:sz w:val="32"/>
          <w:szCs w:val="32"/>
          <w:highlight w:val="none"/>
        </w:rPr>
        <w:t>批次，</w:t>
      </w:r>
      <w:r>
        <w:rPr>
          <w:rFonts w:hint="eastAsia" w:ascii="仿宋" w:hAnsi="仿宋" w:eastAsia="仿宋" w:cs="仿宋"/>
          <w:color w:val="auto"/>
          <w:sz w:val="32"/>
          <w:szCs w:val="32"/>
          <w:highlight w:val="none"/>
          <w:lang w:val="en-US" w:eastAsia="zh-CN"/>
        </w:rPr>
        <w:t>241</w:t>
      </w:r>
      <w:r>
        <w:rPr>
          <w:rFonts w:hint="eastAsia" w:ascii="仿宋" w:hAnsi="仿宋" w:eastAsia="仿宋" w:cs="仿宋"/>
          <w:color w:val="auto"/>
          <w:sz w:val="32"/>
          <w:szCs w:val="32"/>
          <w:highlight w:val="none"/>
        </w:rPr>
        <w:t>人次，共计支出</w:t>
      </w:r>
      <w:r>
        <w:rPr>
          <w:rFonts w:hint="eastAsia" w:ascii="仿宋" w:hAnsi="仿宋" w:eastAsia="仿宋" w:cs="仿宋"/>
          <w:color w:val="auto"/>
          <w:sz w:val="32"/>
          <w:szCs w:val="32"/>
          <w:highlight w:val="none"/>
          <w:lang w:val="en-US" w:eastAsia="zh-CN"/>
        </w:rPr>
        <w:t>3.8</w:t>
      </w:r>
      <w:r>
        <w:rPr>
          <w:rFonts w:hint="eastAsia" w:ascii="仿宋" w:hAnsi="仿宋" w:eastAsia="仿宋" w:cs="仿宋"/>
          <w:color w:val="auto"/>
          <w:sz w:val="32"/>
          <w:szCs w:val="32"/>
          <w:highlight w:val="none"/>
        </w:rPr>
        <w:t>万元，具体内容包括：</w:t>
      </w:r>
      <w:r>
        <w:rPr>
          <w:rFonts w:hint="eastAsia" w:ascii="仿宋" w:hAnsi="仿宋" w:eastAsia="仿宋" w:cs="仿宋"/>
          <w:color w:val="auto"/>
          <w:sz w:val="32"/>
          <w:szCs w:val="32"/>
          <w:highlight w:val="none"/>
          <w:lang w:val="en-US" w:eastAsia="zh-CN"/>
        </w:rPr>
        <w:t>用于接待上级单位检查指导、考察调研、执行任务，兄弟单位学习交流，下级单位请示汇报工作等公务活动</w:t>
      </w:r>
      <w:r>
        <w:rPr>
          <w:rFonts w:hint="eastAsia" w:ascii="仿宋" w:hAnsi="仿宋" w:eastAsia="仿宋" w:cs="仿宋"/>
          <w:color w:val="auto"/>
          <w:sz w:val="32"/>
          <w:szCs w:val="32"/>
          <w:highlight w:val="none"/>
        </w:rPr>
        <w:t>。</w:t>
      </w:r>
    </w:p>
    <w:p>
      <w:pPr>
        <w:spacing w:line="600" w:lineRule="exact"/>
        <w:ind w:firstLine="642" w:firstLineChars="200"/>
        <w:rPr>
          <w:rFonts w:hint="eastAsia" w:ascii="仿宋" w:hAnsi="仿宋" w:eastAsia="仿宋" w:cs="仿宋"/>
          <w:color w:val="auto"/>
          <w:sz w:val="32"/>
          <w:szCs w:val="32"/>
          <w:highlight w:val="none"/>
          <w:lang w:eastAsia="zh-CN"/>
        </w:rPr>
      </w:pPr>
      <w:r>
        <w:rPr>
          <w:rFonts w:hint="eastAsia" w:ascii="仿宋" w:hAnsi="仿宋" w:eastAsia="仿宋" w:cs="仿宋"/>
          <w:b/>
          <w:color w:val="auto"/>
          <w:sz w:val="32"/>
          <w:szCs w:val="32"/>
          <w:highlight w:val="none"/>
        </w:rPr>
        <w:t>外事接待支出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万元，外事接待</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批次，</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人，共计支出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spacing w:line="600" w:lineRule="exact"/>
        <w:ind w:firstLine="640"/>
        <w:outlineLvl w:val="1"/>
        <w:rPr>
          <w:rStyle w:val="25"/>
          <w:rFonts w:ascii="黑体" w:hAnsi="黑体" w:eastAsia="黑体"/>
          <w:color w:val="auto"/>
          <w:highlight w:val="none"/>
        </w:rPr>
      </w:pPr>
      <w:bookmarkStart w:id="87" w:name="_Toc16114_WPSOffice_Level2"/>
      <w:bookmarkStart w:id="88" w:name="_Toc15396610"/>
      <w:bookmarkStart w:id="89" w:name="_Toc15377218"/>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87"/>
      <w:bookmarkEnd w:id="88"/>
      <w:bookmarkEnd w:id="89"/>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年政府性基金预算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2"/>
        </w:numPr>
        <w:spacing w:line="600" w:lineRule="exact"/>
        <w:ind w:firstLine="640"/>
        <w:outlineLvl w:val="1"/>
        <w:rPr>
          <w:rStyle w:val="25"/>
          <w:rFonts w:ascii="黑体" w:hAnsi="黑体" w:eastAsia="黑体"/>
          <w:b w:val="0"/>
          <w:color w:val="auto"/>
          <w:highlight w:val="none"/>
        </w:rPr>
      </w:pPr>
      <w:bookmarkStart w:id="90" w:name="_Toc15377219"/>
      <w:bookmarkStart w:id="91" w:name="_Toc15396611"/>
      <w:bookmarkStart w:id="92" w:name="_Toc27529_WPSOffice_Level2"/>
      <w:r>
        <w:rPr>
          <w:rStyle w:val="25"/>
          <w:rFonts w:hint="eastAsia" w:ascii="黑体" w:hAnsi="黑体" w:eastAsia="黑体"/>
          <w:b w:val="0"/>
          <w:color w:val="auto"/>
          <w:highlight w:val="none"/>
        </w:rPr>
        <w:t>国有资本经营预算支出决算情况说明</w:t>
      </w:r>
      <w:bookmarkEnd w:id="90"/>
      <w:bookmarkEnd w:id="91"/>
      <w:bookmarkEnd w:id="92"/>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年国有资本经营预算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2"/>
        </w:numPr>
        <w:spacing w:line="600" w:lineRule="exact"/>
        <w:ind w:firstLine="640"/>
        <w:outlineLvl w:val="1"/>
        <w:rPr>
          <w:rStyle w:val="25"/>
          <w:rFonts w:hint="eastAsia" w:ascii="黑体" w:hAnsi="黑体" w:eastAsia="黑体"/>
          <w:b w:val="0"/>
          <w:color w:val="auto"/>
          <w:highlight w:val="none"/>
        </w:rPr>
      </w:pPr>
      <w:bookmarkStart w:id="93" w:name="_Toc15396612"/>
      <w:bookmarkStart w:id="94" w:name="_Toc15377221"/>
      <w:bookmarkStart w:id="95" w:name="_Toc14606_WPSOffice_Level2"/>
      <w:r>
        <w:rPr>
          <w:rStyle w:val="25"/>
          <w:rFonts w:hint="eastAsia" w:ascii="黑体" w:hAnsi="黑体" w:eastAsia="黑体"/>
          <w:b w:val="0"/>
          <w:color w:val="auto"/>
          <w:highlight w:val="none"/>
        </w:rPr>
        <w:t>其他重要事项的情况说明</w:t>
      </w:r>
      <w:bookmarkEnd w:id="93"/>
      <w:bookmarkEnd w:id="94"/>
      <w:bookmarkEnd w:id="95"/>
    </w:p>
    <w:p>
      <w:pPr>
        <w:spacing w:line="600" w:lineRule="exact"/>
        <w:ind w:firstLine="642" w:firstLineChars="200"/>
        <w:outlineLvl w:val="2"/>
        <w:rPr>
          <w:rFonts w:ascii="仿宋" w:hAnsi="仿宋" w:eastAsia="仿宋"/>
          <w:color w:val="auto"/>
          <w:sz w:val="32"/>
          <w:szCs w:val="32"/>
          <w:highlight w:val="none"/>
        </w:rPr>
      </w:pPr>
      <w:bookmarkStart w:id="96" w:name="_Toc15377222"/>
      <w:r>
        <w:rPr>
          <w:rFonts w:hint="eastAsia" w:ascii="仿宋" w:hAnsi="仿宋" w:eastAsia="仿宋"/>
          <w:b/>
          <w:color w:val="auto"/>
          <w:sz w:val="32"/>
          <w:szCs w:val="32"/>
          <w:highlight w:val="none"/>
        </w:rPr>
        <w:t>（一）机关运行经费支出情况</w:t>
      </w:r>
      <w:bookmarkEnd w:id="96"/>
    </w:p>
    <w:p>
      <w:pPr>
        <w:spacing w:line="600" w:lineRule="exact"/>
        <w:ind w:firstLine="64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2021年，应急管理厅（本级）机关运行经费支出1966.54万元，比2020年增加155.3万元，增长8.57%。主要原因是面对频繁发生的灾害事故，我厅作为应急管理部门，差旅费用大幅增加。</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97" w:name="_Toc15377223"/>
      <w:r>
        <w:rPr>
          <w:rFonts w:hint="eastAsia" w:ascii="仿宋" w:hAnsi="仿宋" w:eastAsia="仿宋"/>
          <w:b/>
          <w:color w:val="auto"/>
          <w:sz w:val="32"/>
          <w:szCs w:val="32"/>
          <w:highlight w:val="none"/>
        </w:rPr>
        <w:t>（二）政府采购支出情况</w:t>
      </w:r>
      <w:bookmarkEnd w:id="97"/>
    </w:p>
    <w:p>
      <w:pPr>
        <w:spacing w:line="600" w:lineRule="exact"/>
        <w:ind w:firstLine="64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2021年，应急管理厅（本级）政府采购支出总额19975万元，其中：政府采购货物支出8513.69万元、政府采购工程支出0万元、政府采购服务支出11461.31万元。主要用于森林草原防灭火航空飞机租赁费、危化品重大危险源监测预警系统建设、应急救援装备能力提升、物业管理费等。授予中小企业合同金额7333.82万元，占政府采购支出总额的36.71%，其中：授予小微企业合同金额7333.82万元，占政府采购支出总额的36.71%。</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98" w:name="_Toc15377224"/>
      <w:r>
        <w:rPr>
          <w:rFonts w:hint="eastAsia" w:ascii="仿宋" w:hAnsi="仿宋" w:eastAsia="仿宋"/>
          <w:b/>
          <w:color w:val="auto"/>
          <w:sz w:val="32"/>
          <w:szCs w:val="32"/>
          <w:highlight w:val="none"/>
        </w:rPr>
        <w:t>（三）国有资产占有使用情况</w:t>
      </w:r>
      <w:bookmarkEnd w:id="98"/>
    </w:p>
    <w:p>
      <w:pPr>
        <w:spacing w:line="600" w:lineRule="exact"/>
        <w:ind w:firstLine="64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截至2021年12月31日，应急管理厅（本级）共有车辆42辆，其中：主要领导干部用车1辆、机要通信用车1辆、应急保障用车9辆、执法执勤用车10辆、特种专业技术用车19辆、其他用车2辆，其他用车主要是用于离退休干部用车。单价50万元以上通用设备6台（套），单价100万元以上专用设备0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600" w:lineRule="exact"/>
        <w:ind w:firstLine="64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预算绩效管理要求，本单位在2021年度预算编制阶段，组织对救援队伍练兵及演练项目等7个项目开展了预算事前绩效评估，对17个项目编制了绩效目标，预算执行过程中，选取17个项目开展绩效监控，年终执行完毕后，对17个项目开展了绩效自评，2021年特定目标类部门预算项目绩效目标自评表见附件（第四部分）。</w:t>
      </w:r>
    </w:p>
    <w:p>
      <w:pPr>
        <w:autoSpaceDE w:val="0"/>
        <w:autoSpaceDN w:val="0"/>
        <w:adjustRightInd w:val="0"/>
        <w:spacing w:line="600" w:lineRule="exact"/>
        <w:ind w:firstLine="642" w:firstLineChars="200"/>
        <w:jc w:val="both"/>
        <w:rPr>
          <w:rFonts w:ascii="仿宋" w:hAnsi="仿宋" w:eastAsia="仿宋"/>
          <w:b/>
          <w:bCs w:val="0"/>
          <w:color w:val="auto"/>
          <w:sz w:val="32"/>
          <w:szCs w:val="32"/>
          <w:highlight w:val="none"/>
        </w:rPr>
      </w:pP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99" w:name="_Toc15396613"/>
      <w:bookmarkStart w:id="100" w:name="_Toc21038_WPSOffice_Level1"/>
      <w:bookmarkStart w:id="101"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99"/>
      <w:bookmarkEnd w:id="100"/>
      <w:bookmarkEnd w:id="101"/>
    </w:p>
    <w:p>
      <w:pPr>
        <w:spacing w:line="600" w:lineRule="exact"/>
        <w:jc w:val="left"/>
        <w:rPr>
          <w:rFonts w:ascii="宋体"/>
          <w:b/>
          <w:color w:val="auto"/>
          <w:sz w:val="44"/>
          <w:szCs w:val="44"/>
          <w:highlight w:val="none"/>
        </w:rPr>
      </w:pPr>
    </w:p>
    <w:p>
      <w:pPr>
        <w:pStyle w:val="22"/>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1.财政拨款收入：指单位从同级财政部门取得的财政预算资金。</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2.事业收入：</w:t>
      </w:r>
      <w:r>
        <w:rPr>
          <w:rFonts w:hint="eastAsia" w:ascii="仿宋" w:hAnsi="仿宋" w:eastAsia="仿宋" w:cs="仿宋"/>
          <w:color w:val="auto"/>
          <w:sz w:val="32"/>
          <w:szCs w:val="32"/>
          <w:highlight w:val="none"/>
          <w:lang w:val="en-US" w:eastAsia="zh-CN"/>
        </w:rPr>
        <w:t>指事业单位开展专业业务活动及辅助活动取得的收入。如四川科技职工大学招收学生收取的学费收入。</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3.经营收入：指事业单位在专业业务活动及其辅助活动之外开展非独立核算经营活动取得的收入。如</w:t>
      </w:r>
      <w:r>
        <w:rPr>
          <w:rFonts w:hint="eastAsia" w:hAnsi="仿宋" w:cs="仿宋"/>
          <w:color w:val="auto"/>
          <w:sz w:val="32"/>
          <w:szCs w:val="32"/>
          <w:highlight w:val="none"/>
          <w:lang w:eastAsia="zh-CN"/>
        </w:rPr>
        <w:t>四川省安全科学技术研究院开展三维激光扫描等技术服务取得的收入</w:t>
      </w:r>
      <w:r>
        <w:rPr>
          <w:rFonts w:hint="eastAsia" w:ascii="仿宋" w:hAnsi="仿宋" w:eastAsia="仿宋" w:cs="仿宋"/>
          <w:color w:val="auto"/>
          <w:sz w:val="32"/>
          <w:szCs w:val="32"/>
          <w:highlight w:val="none"/>
        </w:rPr>
        <w:t>。</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4.其他收入：指单位取得的除上述收入以外的各项收入。</w:t>
      </w:r>
      <w:r>
        <w:rPr>
          <w:rFonts w:hint="eastAsia" w:ascii="仿宋" w:hAnsi="仿宋" w:eastAsia="仿宋" w:cs="仿宋"/>
          <w:color w:val="auto"/>
          <w:sz w:val="32"/>
          <w:szCs w:val="32"/>
          <w:highlight w:val="none"/>
          <w:lang w:val="en-US" w:eastAsia="zh-CN"/>
        </w:rPr>
        <w:t>是投资收益、事业单位固定资产出租出借收入、存款利息收入等。</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w:t>
      </w:r>
      <w:r>
        <w:rPr>
          <w:rFonts w:hint="eastAsia" w:ascii="仿宋" w:hAnsi="仿宋" w:eastAsia="仿宋" w:cs="仿宋"/>
          <w:color w:val="auto"/>
          <w:sz w:val="32"/>
          <w:szCs w:val="32"/>
          <w:highlight w:val="none"/>
          <w:lang w:eastAsia="zh-CN"/>
        </w:rPr>
        <w:t>使用非财政拨款结余</w:t>
      </w:r>
      <w:r>
        <w:rPr>
          <w:rFonts w:hint="eastAsia" w:ascii="仿宋" w:hAnsi="仿宋" w:eastAsia="仿宋" w:cs="仿宋"/>
          <w:color w:val="auto"/>
          <w:sz w:val="32"/>
          <w:szCs w:val="32"/>
          <w:highlight w:val="none"/>
        </w:rPr>
        <w:t>：指事业单位</w:t>
      </w:r>
      <w:r>
        <w:rPr>
          <w:rFonts w:hint="eastAsia" w:ascii="仿宋" w:hAnsi="仿宋" w:eastAsia="仿宋" w:cs="仿宋"/>
          <w:color w:val="auto"/>
          <w:sz w:val="32"/>
          <w:szCs w:val="32"/>
          <w:highlight w:val="none"/>
          <w:lang w:eastAsia="zh-CN"/>
        </w:rPr>
        <w:t>使用以前年度积累的非财政拨款结余弥补当年收支差额的金额。</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6.年初结转和结余：指以前年度尚未完成、结转到本年按有关规定继续使用的资金。</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7.结余分配：指事业单位按照会计制度规定</w:t>
      </w:r>
      <w:r>
        <w:rPr>
          <w:rFonts w:hint="eastAsia" w:ascii="仿宋" w:hAnsi="仿宋" w:eastAsia="仿宋" w:cs="仿宋"/>
          <w:color w:val="auto"/>
          <w:sz w:val="32"/>
          <w:szCs w:val="32"/>
          <w:highlight w:val="none"/>
          <w:lang w:eastAsia="zh-CN"/>
        </w:rPr>
        <w:t>缴纳的所得税、提取的专用结余以及转入非财政拨款结余的金额</w:t>
      </w:r>
      <w:r>
        <w:rPr>
          <w:rFonts w:hint="eastAsia" w:ascii="仿宋" w:hAnsi="仿宋" w:eastAsia="仿宋" w:cs="仿宋"/>
          <w:color w:val="auto"/>
          <w:sz w:val="32"/>
          <w:szCs w:val="32"/>
          <w:highlight w:val="none"/>
        </w:rPr>
        <w:t>等。</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8、年末结转和结余：指单位按有关规定结转到下年或以后年度继续使用的资金。</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.一般公共服务（类）纪检监察事务（款）大案要案查处（项）:</w:t>
      </w:r>
      <w:r>
        <w:rPr>
          <w:rFonts w:hint="eastAsia" w:ascii="仿宋" w:hAnsi="仿宋" w:eastAsia="仿宋" w:cs="仿宋"/>
          <w:color w:val="auto"/>
          <w:sz w:val="32"/>
          <w:szCs w:val="32"/>
          <w:highlight w:val="none"/>
          <w:lang w:eastAsia="zh-CN"/>
        </w:rPr>
        <w:t>指省纪委追加的纪检工作经费</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.一般公共服务（类）市场监督管理事务（款）一般行政管理事务（项）:</w:t>
      </w:r>
      <w:r>
        <w:rPr>
          <w:rFonts w:hint="eastAsia" w:ascii="仿宋" w:hAnsi="仿宋" w:eastAsia="仿宋" w:cs="仿宋"/>
          <w:color w:val="auto"/>
          <w:sz w:val="32"/>
          <w:szCs w:val="32"/>
          <w:highlight w:val="none"/>
          <w:lang w:eastAsia="zh-CN"/>
        </w:rPr>
        <w:t>指市场监管局追加的标准建设补助资金</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.一般公共服务（类）其他一般公共服务支出（款）其他一般公共服务支出（项）:</w:t>
      </w:r>
      <w:r>
        <w:rPr>
          <w:rFonts w:hint="eastAsia" w:ascii="仿宋" w:hAnsi="仿宋" w:eastAsia="仿宋" w:cs="仿宋"/>
          <w:color w:val="auto"/>
          <w:sz w:val="32"/>
          <w:szCs w:val="32"/>
          <w:highlight w:val="none"/>
          <w:lang w:eastAsia="zh-CN"/>
        </w:rPr>
        <w:t>指</w:t>
      </w:r>
      <w:r>
        <w:rPr>
          <w:rFonts w:hint="default" w:ascii="仿宋" w:hAnsi="仿宋" w:eastAsia="仿宋" w:cs="仿宋"/>
          <w:color w:val="auto"/>
          <w:sz w:val="32"/>
          <w:szCs w:val="32"/>
          <w:highlight w:val="none"/>
          <w:lang w:val="en-US" w:eastAsia="zh-CN"/>
        </w:rPr>
        <w:t>省机关事务管理局追加的车辆大修经费</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.教育（类）进修及培训（款）培训支出（项）:</w:t>
      </w:r>
      <w:r>
        <w:rPr>
          <w:rFonts w:hint="eastAsia" w:ascii="仿宋" w:hAnsi="仿宋" w:eastAsia="仿宋" w:cs="仿宋"/>
          <w:color w:val="auto"/>
          <w:sz w:val="32"/>
          <w:szCs w:val="32"/>
          <w:highlight w:val="none"/>
          <w:lang w:val="en-US" w:eastAsia="zh-CN"/>
        </w:rPr>
        <w:t>指全省应急管理系统人员能力提升方面的培训</w:t>
      </w:r>
      <w:r>
        <w:rPr>
          <w:rFonts w:hint="eastAsia" w:ascii="仿宋" w:hAnsi="仿宋" w:eastAsia="仿宋" w:cs="仿宋"/>
          <w:color w:val="auto"/>
          <w:sz w:val="32"/>
          <w:szCs w:val="32"/>
          <w:highlight w:val="none"/>
          <w:lang w:eastAsia="zh-CN"/>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13</w:t>
      </w:r>
      <w:r>
        <w:rPr>
          <w:rFonts w:hint="eastAsia" w:ascii="仿宋" w:hAnsi="仿宋" w:eastAsia="仿宋" w:cs="仿宋"/>
          <w:color w:val="auto"/>
          <w:sz w:val="32"/>
          <w:szCs w:val="32"/>
          <w:highlight w:val="none"/>
        </w:rPr>
        <w:t>.社会保障和就业（类）行政事业单位养老支出（款）行政单位离退休（项）:支</w:t>
      </w:r>
      <w:r>
        <w:rPr>
          <w:rFonts w:hint="eastAsia" w:ascii="仿宋" w:hAnsi="仿宋" w:eastAsia="仿宋" w:cs="仿宋"/>
          <w:color w:val="auto"/>
          <w:sz w:val="32"/>
          <w:szCs w:val="32"/>
          <w:highlight w:val="none"/>
          <w:lang w:val="en-US" w:eastAsia="zh-CN"/>
        </w:rPr>
        <w:t>指行政</w:t>
      </w:r>
      <w:bookmarkStart w:id="102" w:name="_Toc973976642_WPSOffice_Level2"/>
      <w:r>
        <w:rPr>
          <w:rFonts w:hint="eastAsia" w:ascii="仿宋" w:hAnsi="仿宋" w:eastAsia="仿宋" w:cs="仿宋"/>
          <w:color w:val="auto"/>
          <w:sz w:val="32"/>
          <w:szCs w:val="32"/>
          <w:highlight w:val="none"/>
          <w:lang w:val="en-US" w:eastAsia="zh-CN"/>
        </w:rPr>
        <w:t>及参公单位离退休人员费用</w:t>
      </w:r>
      <w:bookmarkEnd w:id="102"/>
      <w:r>
        <w:rPr>
          <w:rFonts w:hint="eastAsia" w:ascii="仿宋" w:hAnsi="仿宋" w:eastAsia="仿宋" w:cs="仿宋"/>
          <w:color w:val="auto"/>
          <w:sz w:val="32"/>
          <w:szCs w:val="32"/>
          <w:highlight w:val="none"/>
          <w:lang w:val="en-US" w:eastAsia="zh-CN"/>
        </w:rPr>
        <w:t>支出。</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14</w:t>
      </w:r>
      <w:r>
        <w:rPr>
          <w:rFonts w:hint="eastAsia" w:ascii="仿宋" w:hAnsi="仿宋" w:eastAsia="仿宋" w:cs="仿宋"/>
          <w:color w:val="auto"/>
          <w:sz w:val="32"/>
          <w:szCs w:val="32"/>
          <w:highlight w:val="none"/>
        </w:rPr>
        <w:t>.社会保障和就业（类）行政事业单位养老支出（款）机关事业单位基本养老保险缴费支出（项）:</w:t>
      </w:r>
      <w:r>
        <w:rPr>
          <w:rFonts w:hint="eastAsia" w:ascii="仿宋" w:hAnsi="仿宋" w:eastAsia="仿宋" w:cs="仿宋"/>
          <w:color w:val="auto"/>
          <w:sz w:val="32"/>
          <w:szCs w:val="32"/>
          <w:highlight w:val="none"/>
          <w:lang w:eastAsia="zh-CN"/>
        </w:rPr>
        <w:t>指</w:t>
      </w:r>
      <w:r>
        <w:rPr>
          <w:rFonts w:hint="eastAsia" w:ascii="仿宋" w:hAnsi="仿宋" w:eastAsia="仿宋" w:cs="仿宋"/>
          <w:color w:val="auto"/>
          <w:sz w:val="32"/>
          <w:szCs w:val="32"/>
          <w:highlight w:val="none"/>
          <w:lang w:val="en-US" w:eastAsia="zh-CN"/>
        </w:rPr>
        <w:t>在职职工养老保险支出</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rPr>
        <w:t>.社会保障和就业（类）行政事业单位养老支出（款）机关事业单位职业年金缴费支出（项）:</w:t>
      </w:r>
      <w:r>
        <w:rPr>
          <w:rFonts w:hint="eastAsia" w:ascii="仿宋" w:hAnsi="仿宋" w:eastAsia="仿宋" w:cs="仿宋"/>
          <w:color w:val="auto"/>
          <w:sz w:val="32"/>
          <w:szCs w:val="32"/>
          <w:highlight w:val="none"/>
          <w:lang w:val="en-US" w:eastAsia="zh-CN"/>
        </w:rPr>
        <w:t>指职工职业年金支出</w:t>
      </w:r>
      <w:r>
        <w:rPr>
          <w:rFonts w:hint="eastAsia" w:ascii="仿宋" w:hAnsi="仿宋" w:eastAsia="仿宋" w:cs="仿宋"/>
          <w:color w:val="auto"/>
          <w:sz w:val="32"/>
          <w:szCs w:val="32"/>
          <w:highlight w:val="none"/>
          <w:lang w:eastAsia="zh-CN"/>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16</w:t>
      </w:r>
      <w:r>
        <w:rPr>
          <w:rFonts w:hint="eastAsia" w:ascii="仿宋" w:hAnsi="仿宋" w:eastAsia="仿宋" w:cs="仿宋"/>
          <w:color w:val="auto"/>
          <w:sz w:val="32"/>
          <w:szCs w:val="32"/>
          <w:highlight w:val="none"/>
        </w:rPr>
        <w:t>.卫生健康（类）行政事业单位医疗（款）行政单位医疗（项）:</w:t>
      </w:r>
      <w:r>
        <w:rPr>
          <w:rFonts w:hint="eastAsia" w:ascii="仿宋" w:hAnsi="仿宋" w:eastAsia="仿宋" w:cs="仿宋"/>
          <w:color w:val="auto"/>
          <w:sz w:val="32"/>
          <w:szCs w:val="32"/>
          <w:highlight w:val="none"/>
          <w:lang w:val="en-US" w:eastAsia="zh-CN"/>
        </w:rPr>
        <w:t>指行政单位在职职工的医疗保险支出</w:t>
      </w:r>
      <w:r>
        <w:rPr>
          <w:rFonts w:hint="eastAsia" w:ascii="仿宋" w:hAnsi="仿宋" w:eastAsia="仿宋" w:cs="仿宋"/>
          <w:color w:val="auto"/>
          <w:sz w:val="32"/>
          <w:szCs w:val="32"/>
          <w:highlight w:val="none"/>
          <w:lang w:eastAsia="zh-CN"/>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17</w:t>
      </w:r>
      <w:r>
        <w:rPr>
          <w:rFonts w:hint="eastAsia" w:ascii="仿宋" w:hAnsi="仿宋" w:eastAsia="仿宋" w:cs="仿宋"/>
          <w:color w:val="auto"/>
          <w:sz w:val="32"/>
          <w:szCs w:val="32"/>
          <w:highlight w:val="none"/>
        </w:rPr>
        <w:t>.卫生健康（类）行政事业单位医疗（款）公务员医疗补助（项）:</w:t>
      </w:r>
      <w:r>
        <w:rPr>
          <w:rFonts w:hint="eastAsia" w:ascii="仿宋" w:hAnsi="仿宋" w:eastAsia="仿宋" w:cs="仿宋"/>
          <w:color w:val="auto"/>
          <w:sz w:val="32"/>
          <w:szCs w:val="32"/>
          <w:highlight w:val="none"/>
          <w:lang w:val="en-US" w:eastAsia="zh-CN"/>
        </w:rPr>
        <w:t>指公务员医疗补助缴费支出</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18</w:t>
      </w:r>
      <w:r>
        <w:rPr>
          <w:rFonts w:hint="eastAsia" w:ascii="仿宋" w:hAnsi="仿宋" w:eastAsia="仿宋" w:cs="仿宋"/>
          <w:color w:val="auto"/>
          <w:sz w:val="32"/>
          <w:szCs w:val="32"/>
          <w:highlight w:val="none"/>
        </w:rPr>
        <w:t>.住房保障（类）住房改革支出（款）住房公积金（项）:</w:t>
      </w:r>
      <w:r>
        <w:rPr>
          <w:rFonts w:hint="default" w:ascii="Times New Roman" w:hAnsi="Times New Roman" w:eastAsia="仿宋" w:cs="Times New Roman"/>
          <w:color w:val="auto"/>
          <w:sz w:val="32"/>
          <w:szCs w:val="32"/>
        </w:rPr>
        <w:t>指</w:t>
      </w:r>
      <w:r>
        <w:rPr>
          <w:rFonts w:hint="default" w:ascii="Times New Roman" w:hAnsi="Times New Roman" w:eastAsia="仿宋" w:cs="Times New Roman"/>
          <w:color w:val="auto"/>
          <w:sz w:val="32"/>
        </w:rPr>
        <w:t>在职职工住房</w:t>
      </w:r>
      <w:bookmarkStart w:id="103" w:name="_Toc1211361610_WPSOffice_Level2"/>
      <w:r>
        <w:rPr>
          <w:rFonts w:hint="default" w:ascii="Times New Roman" w:hAnsi="Times New Roman" w:eastAsia="仿宋" w:cs="Times New Roman"/>
          <w:color w:val="auto"/>
          <w:sz w:val="32"/>
        </w:rPr>
        <w:t>公积金支出</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19</w:t>
      </w:r>
      <w:r>
        <w:rPr>
          <w:rFonts w:hint="eastAsia" w:ascii="仿宋" w:hAnsi="仿宋" w:eastAsia="仿宋" w:cs="仿宋"/>
          <w:color w:val="auto"/>
          <w:sz w:val="32"/>
          <w:szCs w:val="32"/>
          <w:highlight w:val="none"/>
        </w:rPr>
        <w:t>.住房保障</w:t>
      </w:r>
      <w:bookmarkEnd w:id="103"/>
      <w:r>
        <w:rPr>
          <w:rFonts w:hint="eastAsia" w:ascii="仿宋" w:hAnsi="仿宋" w:eastAsia="仿宋" w:cs="仿宋"/>
          <w:color w:val="auto"/>
          <w:sz w:val="32"/>
          <w:szCs w:val="32"/>
          <w:highlight w:val="none"/>
        </w:rPr>
        <w:t>（类）住房改革支出（款）购房补贴（项）:</w:t>
      </w:r>
      <w:r>
        <w:rPr>
          <w:rFonts w:hint="default" w:ascii="Times New Roman" w:hAnsi="Times New Roman" w:eastAsia="仿宋" w:cs="Times New Roman"/>
          <w:color w:val="auto"/>
          <w:sz w:val="32"/>
          <w:szCs w:val="32"/>
        </w:rPr>
        <w:t>指</w:t>
      </w:r>
      <w:r>
        <w:rPr>
          <w:rFonts w:hint="default" w:ascii="Times New Roman" w:hAnsi="Times New Roman" w:eastAsia="仿宋" w:cs="Times New Roman"/>
          <w:color w:val="auto"/>
          <w:sz w:val="32"/>
        </w:rPr>
        <w:t>在职职工购房补贴支出</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.灾害防治及应急管理（类）应急管理事务（款）行政运行（项）:指保障厅机关正常运转的日常支出，包括基本工资、津贴补贴等人员经费以及办公费、印刷费、水电费等日常公用经费</w:t>
      </w:r>
      <w:r>
        <w:rPr>
          <w:rFonts w:hint="eastAsia" w:ascii="仿宋" w:hAnsi="仿宋" w:eastAsia="仿宋" w:cs="仿宋"/>
          <w:color w:val="auto"/>
          <w:sz w:val="32"/>
          <w:szCs w:val="32"/>
          <w:highlight w:val="none"/>
          <w:lang w:val="en-US" w:eastAsia="zh-CN"/>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.灾害防治及应急管理（类）应急管理事务（款）一般行政管理事务（项）:指保障厅机关为完成特定的行政工作任务或事业发展目标，用于专项业务工作的经费支出</w:t>
      </w:r>
      <w:r>
        <w:rPr>
          <w:rFonts w:hint="eastAsia" w:ascii="仿宋" w:hAnsi="仿宋" w:eastAsia="仿宋" w:cs="仿宋"/>
          <w:color w:val="auto"/>
          <w:sz w:val="32"/>
          <w:szCs w:val="32"/>
          <w:highlight w:val="none"/>
          <w:lang w:val="en-US" w:eastAsia="zh-CN"/>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.灾害防治及应急管理（类）应急管理事务（款）安全监管（项）:指保障厅机关为完成特定的行政工作任务或事业发展目标，用于</w:t>
      </w:r>
      <w:r>
        <w:rPr>
          <w:rFonts w:hint="eastAsia" w:ascii="仿宋" w:hAnsi="仿宋" w:eastAsia="仿宋" w:cs="仿宋"/>
          <w:color w:val="auto"/>
          <w:sz w:val="32"/>
          <w:szCs w:val="32"/>
          <w:highlight w:val="none"/>
          <w:lang w:eastAsia="zh-CN"/>
        </w:rPr>
        <w:t>安全生产监管方面的</w:t>
      </w:r>
      <w:r>
        <w:rPr>
          <w:rFonts w:hint="eastAsia" w:ascii="仿宋" w:hAnsi="仿宋" w:eastAsia="仿宋" w:cs="仿宋"/>
          <w:color w:val="auto"/>
          <w:sz w:val="32"/>
          <w:szCs w:val="32"/>
          <w:highlight w:val="none"/>
        </w:rPr>
        <w:t>专项业务工作经费支出</w:t>
      </w:r>
      <w:r>
        <w:rPr>
          <w:rFonts w:hint="eastAsia" w:ascii="仿宋" w:hAnsi="仿宋" w:eastAsia="仿宋" w:cs="仿宋"/>
          <w:color w:val="auto"/>
          <w:sz w:val="32"/>
          <w:szCs w:val="32"/>
          <w:highlight w:val="none"/>
          <w:lang w:val="en-US" w:eastAsia="zh-CN"/>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23</w:t>
      </w:r>
      <w:r>
        <w:rPr>
          <w:rFonts w:hint="eastAsia" w:ascii="仿宋" w:hAnsi="仿宋" w:eastAsia="仿宋" w:cs="仿宋"/>
          <w:color w:val="auto"/>
          <w:sz w:val="32"/>
          <w:szCs w:val="32"/>
          <w:highlight w:val="none"/>
        </w:rPr>
        <w:t>.灾害防治及应急管理（类）应急管理事务（款）安全生产基础（项）:指保障厅机关为完成特定的行政工作任务或事业发展目标，用于</w:t>
      </w:r>
      <w:r>
        <w:rPr>
          <w:rFonts w:hint="eastAsia" w:ascii="仿宋" w:hAnsi="仿宋" w:eastAsia="仿宋" w:cs="仿宋"/>
          <w:color w:val="auto"/>
          <w:sz w:val="32"/>
          <w:szCs w:val="32"/>
          <w:highlight w:val="none"/>
          <w:lang w:eastAsia="zh-CN"/>
        </w:rPr>
        <w:t>安全生产基础建设、能力提升方面的</w:t>
      </w:r>
      <w:r>
        <w:rPr>
          <w:rFonts w:hint="eastAsia" w:ascii="仿宋" w:hAnsi="仿宋" w:eastAsia="仿宋" w:cs="仿宋"/>
          <w:color w:val="auto"/>
          <w:sz w:val="32"/>
          <w:szCs w:val="32"/>
          <w:highlight w:val="none"/>
        </w:rPr>
        <w:t>专项业务工作经费支出</w:t>
      </w:r>
      <w:r>
        <w:rPr>
          <w:rFonts w:hint="eastAsia" w:ascii="仿宋" w:hAnsi="仿宋" w:eastAsia="仿宋" w:cs="仿宋"/>
          <w:color w:val="auto"/>
          <w:sz w:val="32"/>
          <w:szCs w:val="32"/>
          <w:highlight w:val="none"/>
          <w:lang w:val="en-US" w:eastAsia="zh-CN"/>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24</w:t>
      </w:r>
      <w:r>
        <w:rPr>
          <w:rFonts w:hint="eastAsia" w:ascii="仿宋" w:hAnsi="仿宋" w:eastAsia="仿宋" w:cs="仿宋"/>
          <w:color w:val="auto"/>
          <w:sz w:val="32"/>
          <w:szCs w:val="32"/>
          <w:highlight w:val="none"/>
        </w:rPr>
        <w:t>.灾害防治及应急管理（类）应急管理事务（款）应急救援（项）:指</w:t>
      </w:r>
      <w:r>
        <w:rPr>
          <w:rFonts w:hint="eastAsia" w:ascii="仿宋" w:hAnsi="仿宋" w:eastAsia="仿宋" w:cs="仿宋"/>
          <w:color w:val="auto"/>
          <w:sz w:val="32"/>
          <w:szCs w:val="32"/>
          <w:highlight w:val="none"/>
          <w:lang w:eastAsia="zh-CN"/>
        </w:rPr>
        <w:t>保障</w:t>
      </w:r>
      <w:r>
        <w:rPr>
          <w:rFonts w:hint="eastAsia" w:ascii="仿宋" w:hAnsi="仿宋" w:eastAsia="仿宋" w:cs="仿宋"/>
          <w:color w:val="auto"/>
          <w:sz w:val="32"/>
          <w:szCs w:val="32"/>
          <w:highlight w:val="none"/>
        </w:rPr>
        <w:t>厅机关为完成全省抢险救援工作任务</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事业发展</w:t>
      </w:r>
      <w:r>
        <w:rPr>
          <w:rFonts w:hint="eastAsia" w:ascii="仿宋" w:hAnsi="仿宋" w:eastAsia="仿宋" w:cs="仿宋"/>
          <w:color w:val="auto"/>
          <w:sz w:val="32"/>
          <w:szCs w:val="32"/>
          <w:highlight w:val="none"/>
          <w:lang w:eastAsia="zh-CN"/>
        </w:rPr>
        <w:t>和应急救援能力提升</w:t>
      </w:r>
      <w:r>
        <w:rPr>
          <w:rFonts w:hint="eastAsia" w:ascii="仿宋" w:hAnsi="仿宋" w:eastAsia="仿宋" w:cs="仿宋"/>
          <w:color w:val="auto"/>
          <w:sz w:val="32"/>
          <w:szCs w:val="32"/>
          <w:highlight w:val="none"/>
        </w:rPr>
        <w:t>目标而安排的年度专项工作经费支出</w:t>
      </w:r>
      <w:r>
        <w:rPr>
          <w:rFonts w:hint="eastAsia" w:ascii="仿宋" w:hAnsi="仿宋" w:eastAsia="仿宋" w:cs="仿宋"/>
          <w:color w:val="auto"/>
          <w:sz w:val="32"/>
          <w:szCs w:val="32"/>
          <w:highlight w:val="none"/>
          <w:lang w:val="en-US" w:eastAsia="zh-CN"/>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.灾害防治及应急管理（类）应急管理事务（款）其他应急管理支出（项）:指保障厅机关为完成特定行政工作任务和事业发展目标而安排的年度专项工作经费支出。</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26</w:t>
      </w:r>
      <w:r>
        <w:rPr>
          <w:rFonts w:hint="eastAsia" w:ascii="仿宋" w:hAnsi="仿宋" w:eastAsia="仿宋" w:cs="仿宋"/>
          <w:color w:val="auto"/>
          <w:sz w:val="32"/>
          <w:szCs w:val="32"/>
          <w:highlight w:val="none"/>
        </w:rPr>
        <w:t>.灾害防治及应急管理（类）森林消防事务（款）其他森林消防事务支出（项）:指保障厅机关为完成特定的行政工作任务或事业发展目标，用于</w:t>
      </w:r>
      <w:r>
        <w:rPr>
          <w:rFonts w:hint="eastAsia" w:ascii="仿宋" w:hAnsi="仿宋" w:eastAsia="仿宋" w:cs="仿宋"/>
          <w:color w:val="auto"/>
          <w:sz w:val="32"/>
          <w:szCs w:val="32"/>
          <w:highlight w:val="none"/>
          <w:lang w:eastAsia="zh-CN"/>
        </w:rPr>
        <w:t>森林草原防灭火能力提升方面的</w:t>
      </w:r>
      <w:r>
        <w:rPr>
          <w:rFonts w:hint="eastAsia" w:ascii="仿宋" w:hAnsi="仿宋" w:eastAsia="仿宋" w:cs="仿宋"/>
          <w:color w:val="auto"/>
          <w:sz w:val="32"/>
          <w:szCs w:val="32"/>
          <w:highlight w:val="none"/>
        </w:rPr>
        <w:t>专项业务工作经费支出</w:t>
      </w:r>
      <w:r>
        <w:rPr>
          <w:rFonts w:hint="eastAsia" w:ascii="仿宋" w:hAnsi="仿宋" w:eastAsia="仿宋" w:cs="仿宋"/>
          <w:color w:val="auto"/>
          <w:sz w:val="32"/>
          <w:szCs w:val="32"/>
          <w:highlight w:val="none"/>
          <w:lang w:val="en-US" w:eastAsia="zh-CN"/>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27</w:t>
      </w:r>
      <w:r>
        <w:rPr>
          <w:rFonts w:hint="eastAsia" w:ascii="仿宋" w:hAnsi="仿宋" w:eastAsia="仿宋" w:cs="仿宋"/>
          <w:color w:val="auto"/>
          <w:sz w:val="32"/>
          <w:szCs w:val="32"/>
          <w:highlight w:val="none"/>
        </w:rPr>
        <w:t>.基本支出：指为保障机构正常运转、完成日常工作任务而发生的人员支出和公用支出。</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28</w:t>
      </w:r>
      <w:r>
        <w:rPr>
          <w:rFonts w:hint="eastAsia" w:ascii="仿宋" w:hAnsi="仿宋" w:eastAsia="仿宋" w:cs="仿宋"/>
          <w:color w:val="auto"/>
          <w:sz w:val="32"/>
          <w:szCs w:val="32"/>
          <w:highlight w:val="none"/>
        </w:rPr>
        <w:t xml:space="preserve">.项目支出：指在基本支出之外为完成特定行政任务和事业发展目标所发生的支出。 </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29</w:t>
      </w:r>
      <w:r>
        <w:rPr>
          <w:rFonts w:hint="eastAsia" w:ascii="仿宋" w:hAnsi="仿宋" w:eastAsia="仿宋" w:cs="仿宋"/>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hAnsi="仿宋" w:cs="仿宋"/>
          <w:color w:val="auto"/>
          <w:sz w:val="32"/>
          <w:szCs w:val="32"/>
          <w:highlight w:val="none"/>
          <w:lang w:val="en-US" w:eastAsia="zh-CN"/>
        </w:rPr>
        <w:t>30</w:t>
      </w:r>
      <w:r>
        <w:rPr>
          <w:rFonts w:hint="eastAsia" w:ascii="仿宋" w:hAnsi="仿宋" w:eastAsia="仿宋" w:cs="仿宋"/>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hAnsi="仿宋" w:cs="仿宋"/>
          <w:color w:val="auto"/>
          <w:sz w:val="32"/>
          <w:szCs w:val="32"/>
          <w:highlight w:val="none"/>
          <w:lang w:val="en-US" w:eastAsia="zh-CN"/>
        </w:rPr>
        <w:t>31</w:t>
      </w:r>
      <w:r>
        <w:rPr>
          <w:rFonts w:hint="eastAsia" w:ascii="仿宋" w:hAnsi="仿宋" w:eastAsia="仿宋" w:cs="仿宋"/>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仿宋" w:hAnsi="仿宋" w:eastAsia="仿宋"/>
          <w:b/>
          <w:color w:val="auto"/>
          <w:sz w:val="32"/>
          <w:szCs w:val="32"/>
          <w:highlight w:val="none"/>
        </w:rPr>
      </w:pPr>
    </w:p>
    <w:p>
      <w:pPr>
        <w:spacing w:line="600" w:lineRule="exact"/>
        <w:jc w:val="center"/>
        <w:outlineLvl w:val="0"/>
        <w:rPr>
          <w:rStyle w:val="24"/>
          <w:rFonts w:ascii="黑体" w:hAnsi="黑体" w:eastAsia="黑体"/>
          <w:b w:val="0"/>
          <w:color w:val="auto"/>
          <w:highlight w:val="none"/>
        </w:rPr>
      </w:pPr>
      <w:bookmarkStart w:id="104" w:name="_Toc15377226"/>
      <w:r>
        <w:rPr>
          <w:rFonts w:ascii="宋体"/>
          <w:b/>
          <w:color w:val="auto"/>
          <w:sz w:val="44"/>
          <w:szCs w:val="44"/>
          <w:highlight w:val="none"/>
        </w:rPr>
        <w:br w:type="page"/>
      </w:r>
      <w:bookmarkStart w:id="105" w:name="_Toc15396614"/>
      <w:bookmarkStart w:id="106" w:name="_Toc25686_WPSOffice_Level1"/>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105"/>
      <w:bookmarkEnd w:id="106"/>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bookmarkStart w:id="107" w:name="_Toc15396618"/>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（应急管理宣传工作经费项目）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137.0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137.0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完成应急管理、安全生产和防灾减灾救灾新闻宣传、舆情应对、文化建设工作，承担公众知识普及工作，承担安全生产类、自然灾害类突发事件应急救援社会动员宣传。</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完成应急管理、安全生产和防灾减灾救灾新闻宣传、舆情应对、文化建设工作，承担公众知识普及工作，承担安全生产类、自然灾害类突发事件应急救援社会动员宣传。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原创网评文章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15篇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中央媒体报纸专版/网站专栏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1期/1个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1期/1个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安全生产月专题报道篇数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30篇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30篇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对市州宣传覆盖率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70%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宣传效益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有力展示四川应急人当好党和人民群众“守夜人”的良好形象，为新时代应急管理工作提供了强大的思想动力和舆论支撑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有力展示四川应急人当好党和人民群众“守夜人”的良好形象，为新时代应急管理工作提供了强大的思想动力和舆论支撑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&gt;85%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（应急管理及安全生产检查、调查专家费及评估项目）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290.0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287.72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290.0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287.72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聘请专家参与应急救援、安全生产督查检查、防灾减灾、决策咨询、项目评审验收等各项工作。使用专家不少于2000人日。2.对5个重点县（区）进行安全生产专家指导服务。3、完成35处煤矿现场考评工作。4、完成12个非煤矿山现场抽查工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聘请专家参与应急救援、安全生产督查检查、防灾减灾、决策咨询、项目评审验收等各项工作。使用专家不少于2000人日。2.对5个重点县（区）进行安全生产专家指导服务。3、完成35处煤矿现场考评工作。4、完成12个非煤矿山现场抽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煤矿标准化考评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35个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指导服务重点县个数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5个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考核报告数量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35份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35份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专家使用量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2000人次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2165人次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危险化学品、烟花爆竹企业申请及延期换证现场审查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良好推行安全生产标准化工作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通过企业开展标准化，最终使企业的标注化体系更加健全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通过企业开展标准化，最终使企业的标注化体系更加健全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社会效益指标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及时排查、消除企业存在的安全隐患和风险点，降低事故发生率，减少事故损失，保障人民群众生命财产安全。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及时排查、消除企业存在的安全隐患和风险点，降低事故发生率，减少事故损失，保障人民群众生命财产安全。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主管部门满意度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大于等于95%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（省安办接受国家督查、开展巡查及会议专项项目）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183.0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181.85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183.0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181.85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一、开展全省安全生产工作巡查，每年1次。按《四川省安全生产巡查工作制度》要求实现两年全省“全覆盖”。二 、开展全省安全生产综合督查、督导、考核。1.省安委会全年开展安全生产综合督查1次；2.省安办全年开展安全生产督导2次；3.全省安全生产目标考核1次。三、迎接国务院安委会安全生产巡查、督查、考核。1.迎接国务院安委会巡查每年一次；2.迎接国务院安委会督查每年不少于3次；3.迎接国务院安委会安全生产目标考核，每年1次。四、每年政府安委会办公室组织召开全省安全生产电视电话会议4次以上，定期分析安全生产形势，安排部署、分析总结下一阶段安全生产工作。五、开展安全监管检查和突发自然灾害应急处置。</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一、开展全省安全生产工作巡查，每年1次。按《四川省安全生产巡查工作制度》要求实现两年全省“全覆盖”。二 、开展全省安全生产综合督查、督导、考核。1.省安委会全年开展安全生产综合督查1次；2.省安办全年开展安全生产督导2次；3.全省安全生产目标考核1次。三、迎接国务院安委会安全生产巡查、督查、考核。1.迎接国务院安委会巡查每年一次；2.迎接国务院安委会督查每年不少于3次；3.迎接国务院安委会安全生产目标考核，每年1次。四、每年政府安委会办公室组织召开全省安全生产电视电话会议4次以上，定期分析安全生产形势，安排部署、分析总结下一阶段安全生产工作。五、开展安全监管检查和突发自然灾害应急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举办全省视频会议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安全生产巡查、督查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暗访暗查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安全生产考核</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督查检查质量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按督查检查工作要求保质保量完成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按督查检查工作要求保质保量完成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社会效益指标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促进全省安全生产有效好转</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促进全省安全生产有效好转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大于85%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（设备购置经费项目）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446.0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423.98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446.0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423.98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完成应急厅安全可靠设备替换32%目标任务，预计446万元。保障厅机关办公设备需求。</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完成应急厅安全可靠设备替换32%目标任务，预计446万元。保障厅机关办公设备需求。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完成安全设备替换目标任务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完成目标质量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符合国家规定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符合国家规定，通过验收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完成时效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2021年底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效益指标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保障数据安全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保障数据安全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可持续影响时效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使用对象满意度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大于85%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（2021年森林草原航空消防飞机租赁采购项目项目）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1843.0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1843.0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1843.0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1843.0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组织实施2021年防火期7架森林航空消防直升机的租赁采购，具体如下：1架M-26（国家扶持引进），航期2021年2月1日至4月6日；1架K-32、1架高原型M-171、2架K-MAX和1架H-125，航期为2021年1月1日至6月30日；1架K-32，航期为2021年1月1日至5月31日。提高灭火效率，减轻灾害损失。</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组织实施2021年防火期7架森林航空消防直升机的租赁采购，具体如下：1架M-26（国家扶持引进），航期2021年2月1日至4月6日；1架K-32、1架高原型M-171、2架K-MAX和1架H-125，航期为2021年1月1日至6月30日；1架K-32，航期为2021年1月1日至5月31日。提高灭火效率，减轻灾害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1197小时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1766小时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1197小时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1121天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1553天</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1121天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2021.6.30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2021.6.30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2021.6.30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控制在5.35万/小时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控制在约5万/小时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控制在5.35万/小时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对社会的影响（是否明显）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提高灭火效率，减轻灾害损失，社会效益明显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提高灭火效率，减轻灾害损失，社会效益明显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生态环境改善情况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减少森林草原资源损失，保护生态环境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减少森林草原资源损失，保护生态环境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是否维护林牧区稳定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维护林牧区的安全稳定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维护林牧区的安全稳定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林牧区群众、各级火灾防治科、林场职工满意度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满意度90%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（应急管理领域“十四五”规划编制项目）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105.0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104.13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105.0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104.13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105.0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应急管理领域“十四五”规划编写工作，包括应急体系建设、综合防灾减灾和安全生产等领域。编制应急体系建设“十四五”规划（总体规划）、综合防灾减灾“十四五”规划、安全生产“十四五”规划；2.编制并出台《四川省危险化学品“禁限控”目录》。</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应急管理领域“十四五”规划编写工作，包括应急体系建设、综合防灾减灾和安全生产等领域。编制应急体系建设“十四五”规划（总体规划）、综合防灾减灾“十四五”规划、安全生产“十四五”规划；2.编制并出台《四川省危险化学品“禁限控”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编制《四川省“十四五”应急体系规划》（总规）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应急体系建设“十四五”规划（分规）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综合防灾减灾“十四五”规划（分规）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安全生产“十四五”规划（分规）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编制并发表《四川省危险化学品“禁限控”目录》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规划完成质量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形成规划送审稿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形成规划送审稿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规划完成时间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2021年5月底前完成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政府效益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对全省危险化学安全生产工作具有指导意义</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对全省危险化学安全生产工作具有指导意义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社会效益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十四五”时期是应急管理系统机构改革之后，全力构建统一领导、权责一致、权威高效的应急管理体系，推动形成统一指挥、专常兼备、反应灵敏、上下联动、平战结合的中国特色应急管理体制的关键时期。科学编制“十四五”规划，阐明战略部署、引导资源配置、布局重大项目，有利于保持政策连续性、稳定性，确保集中力量办大事、一张蓝图绘到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十四五”时期是应急管理系统机构改革之后，全力构建统一领导、权责一致、权威高效的应急管理体系，推动形成统一指挥、专常兼备、反应灵敏、上下联动、平战结合的中国特色应急管理体制的关键时期。科学编制“十四五”规划，阐明战略部署、引导资源配置、布局重大项目，有利于保持政策连续性、稳定性，确保集中力量办大事、一张蓝图绘到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持续性影响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凝练提出未来5年应急管理工作的总体思路、目标指标、主要任务、重大改革举措和重点项目，为应急管理事业改革发展奠定坚实基础。</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凝练提出未来5年应急管理工作的总体思路、目标指标、主要任务、重大改革举措和重点项目，为应急管理事业改革发展奠定坚实基础。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十四五规划群众满意度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&gt;95%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96%</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（信息化建设及运行维护费项目）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265.0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252.68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265.0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252.68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完成公文传输系统的网络接入，调试以及日常维护工作。对保密机房的网络安全、网络调试，信息安全、系统接入的安装、调试、配置及运维服务。对机关和直属单位开展保密工作检查的技术支持。2.建立四川省应急救援力量与资源统计系统。3.办公互联网畅通，互联网光纤平均丢包率不高于0.2%，平均时延不高于100ms；4.省厅与消防总队、水利厅、省煤监局等部门信息系统互联互通；5、应急救援指挥过程中，应急通讯正常；6、中石油、中石化、中石化西南油气分公司下属20余家危险化学品企业监测数据和视频监控接入四川省危险化学品重大危险源监测预警系统；7、60个执法终端通讯正常，执法效能进一步提高；8.对应急管理厅等级保护对象（指挥信息网、控制系统、物联网等）开展运维和等级保护测评。9.实施应急指挥辅助软件迭代完善、硬件的运行维护，为调度指挥快速高效完成突发事件相关处置工作提供基础支撑。</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完成公文传输系统的网络接入，调试以及日常维护工作。对保密机房的网络安全、网络调试，信息安全、系统接入的安装、调试、配置及运维服务。对机关和直属单位开展保密工作检查的技术支持。2.建立四川省应急救援力量与资源统计系统。3.办公互联网畅通，互联网光纤平均丢包率不高于0.2%，平均时延不高于100ms；4.省厅与消防总队、水利厅、省煤监局等部门信息系统互联互通；5、应急救援指挥过程中，应急通讯正常；6、中石油、中石化、中石化西南油气分公司下属20余家危险化学品企业监测数据和视频监控接入四川省危险化学品重大危险源监测预警系统；7、60个执法终端通讯正常，执法效能进一步提高；8.对应急管理厅等级保护对象（指挥信息网、控制系统、物联网等）开展运维和等级保护测评。9.实施应急指挥辅助软件迭代完善、硬件的运行维护，为调度指挥快速高效完成突发事件相关处置工作提供基础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四川省应急救援力量与资源统计系统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100M专线租赁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接入重大危险源油库监测数据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30家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测评报告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E1语音专线租赁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互联网平均时延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小于等于100MS</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小于100MS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语音传输时延（平均）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小于等于400MS</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小于400MS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应急通讯</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eastAsia" w:ascii="Arial" w:hAnsi="Arial" w:cs="Arial"/>
                <w:i w:val="0"/>
                <w:color w:val="000000"/>
                <w:kern w:val="0"/>
                <w:sz w:val="20"/>
                <w:szCs w:val="20"/>
                <w:u w:val="none"/>
                <w:lang w:val="en-US" w:eastAsia="zh-CN" w:bidi="ar"/>
              </w:rPr>
              <w:t>保障</w:t>
            </w:r>
            <w:r>
              <w:rPr>
                <w:rFonts w:hint="default" w:ascii="Arial" w:hAnsi="Arial" w:eastAsia="宋体" w:cs="Arial"/>
                <w:i w:val="0"/>
                <w:color w:val="000000"/>
                <w:kern w:val="0"/>
                <w:sz w:val="20"/>
                <w:szCs w:val="20"/>
                <w:u w:val="none"/>
                <w:lang w:val="en-US" w:eastAsia="zh-CN" w:bidi="ar"/>
              </w:rPr>
              <w:t>应急管理厅与消防总队、水利厅、省煤监局等部门信息互联互通，为会商研判、指挥调度、应急救援提供可靠、稳定保障。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Arial" w:hAnsi="Arial" w:eastAsia="宋体" w:cs="Arial"/>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使用对象满意度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大于95%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（四川省安全发展示范城市创建工作项目）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140.0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140.0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修订《四川省安全发展示范城市评价细则（2021版）》《四川省安全发展示范城市评价操作指南（2021版）》；2、完成2个国家级试点、8个省级试点安全发展示范城市技术支撑，包括使用信息管理平台、技术人员现场指导等措施，使试点城市达到《国家安全发展示范城市评价细则》《四川省安全发展示范城市评价细则》标准要求。</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修订《四川省安全发展示范城市评价细则（2021版）》《四川省安全发展示范城市评价操作指南（2021版）》；2、完成2个国家级试点、8个省级试点安全发展示范城市技术支撑，包括使用信息管理平台、技术人员现场指导等措施，使试点城市达到《国家安全发展示范城市评价细则》《四川省安全发展示范城市评价细则》标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标准修订</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省级安全示范城市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8个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国家安全发展示范城市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建成安全社区</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40个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省级安全示范城市完成质量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达到《四川省安全发展示范城市评价细则》标准要求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达到《四川省安全发展示范城市评价细则》标准要求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国家安全发展示范城市质量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达到《国家安全发展示范城市评价细则》标准要求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达到《国家安全发展示范城市评价细则》标准要求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省级安全示范城市完成时间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2021年12月31日前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安全发展示范城市创建</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提升城市风险防控关口前移和精细化管理能力，保持城市安全监管的高压态势。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提升城市风险防控关口前移和精细化管理能力，保持城市安全监管的高压态势。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不低于85%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（应急指挥研判及危化品监测应急值守项目项目）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252.0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207.26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252.0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207.26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购买信息平台运行技术、融合通讯操作、作战保障等岗位服务，专职承担应急指挥中心应急值守任务中信息化专业系统操作、指挥大厅诸多装备设备操作、作战时辅助指挥决策产品等事务性工作。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购买信息平台运行技术、融合通讯操作、作战保障等岗位服务，专职承担应急指挥中心应急值守任务中信息化专业系统操作、指挥大厅诸多装备设备操作、作战时辅助指挥决策产品等事务性工作。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危化监测值守倒班原则</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危化监测值守倒班原则</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3班2倒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已组建不低于3人的技术团队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危化监测值守工作团队人数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组建不少于3人的技术团队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所设岗位全年每天*24小时不间断值守应急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应急值守时间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所设岗位全年365天*24小时不间断值守应急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综合监测岗位人员数量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技术操作岗位人员数量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信息系统运维岗位人员数量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屏显系统操作岗位人员数量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通信保障岗位人员数量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大学专科或本科以上学历，并满足相关专业要求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岗位人员学历专业要求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大学专科或本科以上学历，并满足相关专业要求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社会效益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强化省内灾害事故应急处置保障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强化省内灾害事故应急处置保障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95%</w:t>
            </w:r>
          </w:p>
        </w:tc>
      </w:tr>
    </w:tbl>
    <w:p>
      <w:pPr>
        <w:pStyle w:val="2"/>
      </w:pPr>
    </w:p>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（自然灾害综合风险普查项目）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130.0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126.97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130.0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126.97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保障省普查办承担的会议、培训任务按时圆满完成，保障普查工作专班顺利运行。</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保障省普查办承担的会议、培训任务按时圆满完成，保障普查工作专班顺利运行。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完成培训人次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800人次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召开普查会议次数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普查原始资料质量核查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180个县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180个县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社会效益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客观认识灾害综合风险水平，形成自然灾害防治建议，为全省有效开展自然灾害防治和应急管理、切实保障经济社会高质量发展提供权威的灾害风险信息和科学决策依据。</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客观认识灾害综合风险水平，形成自然灾害防治建议，为全省有效开展自然灾害防治和应急管理、切实保障经济社会高质量发展提供权威的灾害风险信息和科学决策依据。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大于85%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w:t>
            </w:r>
          </w:p>
        </w:tc>
      </w:tr>
    </w:tbl>
    <w:p>
      <w:pPr>
        <w:widowControl/>
        <w:jc w:val="left"/>
        <w:rPr>
          <w:rStyle w:val="24"/>
          <w:rFonts w:ascii="黑体" w:hAnsi="黑体" w:eastAsia="黑体"/>
          <w:b w:val="0"/>
          <w:color w:val="auto"/>
          <w:highlight w:val="none"/>
        </w:rPr>
      </w:pPr>
    </w:p>
    <w:tbl>
      <w:tblPr>
        <w:tblStyle w:val="12"/>
        <w:tblpPr w:leftFromText="180" w:rightFromText="180" w:vertAnchor="text" w:horzAnchor="page" w:tblpX="1281" w:tblpY="660"/>
        <w:tblOverlap w:val="never"/>
        <w:tblW w:w="98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（洪涝灾害应急救援装备物资建设项目）</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350.0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298.88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350.0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298.88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大流量排水车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大流量便携式排水泵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水域救援套装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40套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大功率应急照明灯数量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10台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便携式应急照明灯</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80台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80台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装备质量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通过验收、满足需求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全部通过验收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项目按期完成率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达到100%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对我省洪涝灾害救援工作能力的促进作用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有效提高我省洪涝灾害救援工作能力，保障人民生命财产安全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有效提高我省洪涝灾害救援工作能力，保障人民生命财产安全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85%</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（自然灾害防治评估类等项目项目）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850.0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830.09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850.0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830.09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一、对四川省地质灾害重点防范区内的龙门山区、川西高原区、攀西地区、秦巴山区、乌蒙山区等地质灾害重点防范区的重特大地质灾害隐患开展应急能力专项评估，针对不同类型重特大地质灾害，应急救援指挥、专业应急救援队伍、应急救援装备和物资三个方面进行需求分析。二、四川省重点地区重特大地震灾害应急能力评估。进行地震重点防御区基础数据收集，研究建立地震应急救援能力评估指标及模型。三、针对地质灾害应急处置工作的突发性、复杂性、动态性、系统性的特点，以及中央自然灾害救灾资金总量和覆盖量大日常管理和绩效考核工作量繁重的问题，为规范和加强我省地质灾害应急处置项目的组织和实施，进而提升我省地质灾害应急处置能力和中央救灾资金的管控能力，着力开展地质灾害应急处置项目技术服务体系建设工作。四、每年的汛期（5月-9月）和重点防火期（12月-次年4月），通过对每日灾害综合风险进行分析研判，形成自然灾害综合风险预警提示。五、四川省重点城镇洪涝灾害风险分析及应急救援辅助决策示范工程。计划通过3年建设，完成青衣江、渠江、沱江等沿线重点城镇洪涝灾害风险分析及应急救援辅助决策示范，以达到省级高标准引领，带动地方发展的目的。六、自然灾害评估及生产安全事故调查评估。1、对重大事故及提级调查的较大事故开展调查和评估工作，提供技术支撑、聘请专家，进行技术鉴定等。2、针对我省自然灾害种类多、损失大，委托第三方机构开展水旱灾害、地质灾害、森林和草原火灾、地震等自然灾害类突发事件（事故）的调查评估，举一反三，总结经验，完善措施，提升应急管理和防灾减灾救灾工作水平。</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一、对四川省地质灾害重点防范区内的龙门山区、川西高原区、攀西地区、秦巴山区、乌蒙山区等地质灾害重点防范区的重特大地质灾害隐患开展应急能力专项评估，针对不同类型重特大地质灾害，应急救援指挥、专业应急救援队伍、应急救援装备和物资三个方面进行需求分析。二、四川省重点地区重特大地震灾害应急能力评估。进行地震重点防御区基础数据收集，研究建立地震应急救援能力评估指标及模型。三、针对地质灾害应急处置工作的突发性、复杂性、动态性、系统性的特点，以及中央自然灾害救灾资金总量和覆盖量大日常管理和绩效考核工作量繁重的问题，为规范和加强我省地质灾害应急处置项目的组织和实施，进而提升我省地质灾害应急处置能力和中央救灾资金的管控能力，着力开展地质灾害应急处置项目技术服务体系建设工作。四、每年的汛期（5月-9月）和重点防火期（12月-次年4月），通过对每日灾害综合风险进行分析研判，形成自然灾害综合风险预警提示。五、四川省重点城镇洪涝灾害风险分析及应急救援辅助决策示范工程。计划通过3年建设，完成青衣江、渠江、沱江等沿线重点城镇洪涝灾害风险分析及应急救援辅助决策示范，以达到省级高标准引领，带动地方发展的目的。六、自然灾害评估及生产安全事故调查评估。1、对重大事故及提级调查的较大事故开展调查和评估工作，提供技术支撑、聘请专家，进行技术鉴定等。2、针对我省自然灾害种类多、损失大，委托第三方机构开展水旱灾害、地质灾害、森林和草原火灾、地震等自然灾害类突发事件（事故）的调查评估，举一反三，总结经验，完善措施，提升应急管理和防灾减灾救灾工作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优化地质灾害应急救援能力评估模型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重特大地质灾害地质灾害隐患点应急救援能力评估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重特大地质灾害应急救援行动方案数量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地震重点防御区研究及调查区范围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不低于1万平方公里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1万平方公里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区域应急救援行动方案数量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地震应急救援能力评估模型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项目管理平台建设数量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地质灾害应急处置项目进度月报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地质灾害风险研判简报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发布自然灾害产品分析报告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50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开展洪涝灾害风险分析及应急救援示范工程数量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地质灾害接报响应速度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小于30分钟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20-30分钟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对我省重特大洪涝灾害救援工作能力的促进作用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有效提升我省重特大洪涝灾害救援工作能力，保障人民生命财产安全。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有效提升我省重特大洪涝灾害救援工作能力，保障人民生命财产安全。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95%</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（救援队伍练兵及演练项目项目）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607.0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564.52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607.0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564.52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一、地震和地质灾害应急桌面演练项目。1.演练前期踏勘调研。2.演练方案编制。3.演练脚本编制。4.租赁会议场地和演练场地搭建布置。5.开展地震和地质灾害应急演练。6.专家点评总结。二、社会应急救援力量技能竞赛。组织应急救援队伍练兵和技能竞赛等活动1次。三、四川省地震与地质灾害重点危险区救援实景电子沙盘工程。针对地震与地质灾害重点危险区，对区域内居民聚集区、工矿企业、旅游景点等人文要素，以及重点地质灾害隐患点开展实景三维测绘，构建主活动断裂区域内地震与地质灾害应急三维实景测绘库，建立地震与地质灾害救援电子沙盘系统。四、全省水旱灾害应急救援演练、宣传及制度建设。1、基于总体设定的洪涝灾害情况，启动相应应急响应级别，成立前后方指挥部，调度综合性消防救援队伍和受灾当地应急救援力量，派出专家队伍、工作组，开展排危除险、人员避险转移、人员搜救、交通通讯恢复等应急处置工作及总结评估工作。2、提出水旱灾害及低温雨雪冰冻灾害相关预案及制度修订建议。3、建立健全水旱灾害相关制度机制和开展预案编修工作。五、以某森林草原火灾高危地区发生重大森林火灾为背景，开展森林草原火灾扑救演练，提升全省应急系统森林草原扑火队伍实战能力。1.提请省森防指，组织指挥长、副指挥长及成员单位参加的省、州联合桌面推演，磨合森林草原火灾应急处置流程。2.部署并组织和指导重点市州拉动演练。3.实地开展一次森林草原消防演练（包括预演、正式演练）</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一、地震和地质灾害应急桌面演练项目。1.演练前期踏勘调研。2.演练方案编制。3.演练脚本编制。4.租赁会议场地和演练场地搭建布置。5.开展地震和地质灾害应急演练。6.专家点评总结。二、社会应急救援力量技能竞赛。组织应急救援队伍练兵和技能竞赛等活动1次。三、四川省地震与地质灾害重点危险区救援实景电子沙盘工程。针对地震与地质灾害重点危险区，对区域内居民聚集区、工矿企业、旅游景点等人文要素，以及重点地质灾害隐患点开展实景三维测绘，构建主活动断裂区域内地震与地质灾害应急三维实景测绘库，建立地震与地质灾害救援电子沙盘系统。四、全省水旱灾害应急救援演练、宣传及制度建设。1、基于总体设定的洪涝灾害情况，启动相应应急响应级别，成立前后方指挥部，调度综合性消防救援队伍和受灾当地应急救援力量，派出专家队伍、工作组，开展排危除险、人员避险转移、人员搜救、交通通讯恢复等应急处置工作及总结评估工作。2、提出水旱灾害及低温雨雪冰冻灾害相关预案及制度修订建议。3、建立健全水旱灾害相关制度机制和开展预案编修工作。五、以某森林草原火灾高危地区发生重大森林火灾为背景，开展森林草原火灾扑救演练，提升全省应急系统森林草原扑火队伍实战能力。1.提请省森防指，组织指挥长、副指挥长及成员单位参加的省、州联合桌面推演，磨合森林草原火灾应急处置流程。2.部署并组织和指导重点市州拉动演练。3.实地开展一次森林草原消防演练（包括预演、正式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地震-地质灾害应急演练次数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演练视频及成果图件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队伍练兵和技能竞赛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重点地区航空测量面积</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150km2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170km2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地质灾害三维实景测量个数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地震与地质灾害应急三维实景测绘库</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水患灾害应急演练场次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修订预案数量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森林草原消防演练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社会救援力量参与应急救援水平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提升社会救援力量参与应急救援水平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提升社会救援力量参与应急救援水平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满意度指标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服务对象满意度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&gt;80%</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（上年结转_省级预算内基本建设资金项目）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190.2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167.98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190.2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167.98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1.完成国家西南区域应急救援中心前期工作，调动项目业主和地方政府积极性，扎实有效推进重点项目前期工作，促进项目尽快开工建设。2.完成2套森林航空消防移动加油设备采购。</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1.完成国家西南区域应急救援中心前期工作，调动项目业主和地方政府积极性，扎实有效推进重点项目前期工作，促进项目尽快开工建设。2.完成2套森林航空消防移动加油设备采购。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支持重点项目开展前期工作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移动加油设备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移动加油设备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提升森林航空消防效率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提升森林航空消防效率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推动重点项目实施，满足人民群众对基础设施、公共服务和经济社会发展等方面的需求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推动重点项目实施，满足人民群众对基础设施、公共服务和经济社会发展等方面的需求</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（上年结转_应急和自然灾害救灾资金项目）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1000.0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638.27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1000.0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638.27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根据《四川省森林草原地方专业扑火队伍建设专项整治实施方案》，完成5辆移动前进指挥部专业车辆的购置。</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根据《四川省森林草原地方专业扑火队伍建设专项整治实施方案》，完成5辆移动前进指挥部专业车辆的购置。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炊事就餐车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宿营车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通讯保障车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移动塔台车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通信指挥车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购置设备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验收合格率100%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目前，已完成通信指挥车、通讯保障车、炊事就餐车、宿营车验收和移动塔台车功能性测试，因受疫情影响，移动塔台车还未完成设备验收。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移动前进指挥部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提升森林草原消防效率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提升森林草原消防效率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95%</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（上年结转_省级安全生产专项资金项目）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8661.61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7534.88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8661.61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7534.88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完成非煤矿山安全监管平台建设工作。2.完成煤矿安全生产工作。3.根据专业应急队伍建设实际需要，主要采购常规大型装备及少量新型尖端装备，共11大类686台（套）。4.全面建成全省联网并与应急管理部联网的危险化学品重大危险源监测预警系统，全省所有重大危险源化工企业、重点监管工艺企业的基础数等接入本系统；全省烟花爆竹生产企业的视频数据接入本系统。</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完成非煤矿山安全监管平台建设工作。2.完成煤矿安全生产工作。3.根据专业应急队伍建设实际需要，主要采购常规大型装备及少量新型尖端装备，共11大类686台（套）。4.全面建成全省联网并与应急管理部联网的危险化学品重大危险源监测预警系统，全省所有重大危险源化工企业、重点监管工艺企业的基础数等接入本系统；全省烟花爆竹生产企业的视频数据接入本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非煤矿山安全监管平台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完成危化专业队伍装备配备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完成矿山专业队伍装备配备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5家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建设危化品重大危险源监测预警系统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接入系统的危化品重大危险源企业数量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不少于230家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242家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接入系统的危化品重大危险源数量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不少于540处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581处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企业三维厂区数据模型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不少于70家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101家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监测预警数据采集网关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不少于200台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267台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视频智能分析网关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不少于200台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336台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安全接入网关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不少于200台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304台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专线电路数据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不少于200条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262条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区域重特大事故处置覆盖率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市州应急管理部门满意度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大于85%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w:t>
            </w:r>
          </w:p>
        </w:tc>
      </w:tr>
    </w:tbl>
    <w:p>
      <w:pPr>
        <w:pStyle w:val="2"/>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val="0"/>
                <w:bCs/>
                <w:i w:val="0"/>
                <w:color w:val="auto"/>
                <w:sz w:val="32"/>
                <w:szCs w:val="32"/>
                <w:highlight w:val="none"/>
                <w:u w:val="none"/>
                <w:lang w:val="en-US" w:eastAsia="zh-CN"/>
              </w:rPr>
              <w:t>（上年结转_应急救援能力提升项目）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四川省应急管理厅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3308.5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3109.12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3308.5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3109.12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建设四川省危险化学品安全风险研判系统（监测预警综合信息平台），对已建系统（危险化学品企业安全风险研判与承诺公告系统、危险化学品登记信息管理系统、危险化学品安全风险监管信息平台）、在建系统（危险化学品重大危险源风险监测预警系统）及拟建系统（危险化学品应急监测预警系统、特殊作业监控预警系统、危险化学品安全生产清单制管理系统）数据进行综合汇聚，同时具备接入省安委会成员部门相关信息系统的能力，覆盖约276家构成重大危险源的危险化学品企业，使用单位包含四川省应急管理厅、20个市州、99个区县（均涉及构成重大危险源的危险化学品企业）的应急管理部门；2、建设危险化学品应急监测预警系统，覆盖61家构成一、二级重大危险源且涉及易燃、易爆、有毒气体的危险化学品企业以及未入园且存在较大社会风险的重大危险源企业，使用单位包含四川省应急管理厅、18个市州及49个区县（上述61家企业所在地区）应急管理部门；3、建设特殊作业监控预警系统，覆盖省内约276家构成重大危险源的危险化学品企业，使用单位包含四川省应急管理厅、20个市州及90余个区县（均涉及构成重大危险源的危险化学品企业）应急管理部门及上述约276家企业；4、建设危险化学品安全生产清单制管理系统，覆盖省内约276家构成重大危险源的危险化学品企业，使用单位包含四川省应急管理厅、20个市州及90余个区县（均涉及构成重大危险源的危险化学品企业）应急管理部门及上述约276家企业；5、建设企业三维厂区数据模型，覆盖70家构成重大危险源的危险化学品企业。</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1、建设四川省危险化学品安全风险研判系统（监测预警综合信息平台），对已建系统（危险化学品企业安全风险研判与承诺公告系统、危险化学品登记信息管理系统、危险化学品安全风险监管信息平台）、在建系统（危险化学品重大危险源风险监测预警系统）及拟建系统（危险化学品应急监测预警系统、特殊作业监控预警系统、危险化学品安全生产清单制管理系统）数据进行综合汇聚，同时具备接入省安委会成员部门相关信息系统的能力，覆盖约276家构成重大危险源的危险化学品企业，使用单位包含四川省应急管理厅、20个市州、99个区县（均涉及构成重大危险源的危险化学品企业）的应急管理部门；2、建设危险化学品应急监测预警系统，覆盖61家构成一、二级重大危险源且涉及易燃、易爆、有毒气体的危险化学品企业以及未入园且存在较大社会风险的重大危险源企业，使用单位包含四川省应急管理厅、18个市州及49个区县（上述61家企业所在地区）应急管理部门；3、建设特殊作业监控预警系统，覆盖省内约276家构成重大危险源的危险化学品企业，使用单位包含四川省应急管理厅、20个市州及90余个区县（均涉及构成重大危险源的危险化学品企业）应急管理部门及上述约276家企业；4、建设危险化学品安全生产清单制管理系统，覆盖省内约276家构成重大危险源的危险化学品企业，使用单位包含四川省应急管理厅、20个市州及90余个区县（均涉及构成重大危险源的危险化学品企业）应急管理部门及上述约276家企业；5、建设企业三维厂区数据模型，覆盖70家构成重大危险源的危险化学品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建设四川省危险化学品安全风险研判系统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建设危险化学品应急监测预警系统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建设特殊作业监控预警系统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建设危险化学品安全生产清单制管理系统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部署应急监测装置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不少于350套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363套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建设企业三维厂区数据模型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不少于68家危险化学品企业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70家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社会效益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实现针对危化品安全生产的多层级、多职能、多方位监管，促使危化品生产经营企业强化安全意识、狠抓安全落实，更加注重安全措施的预防性和细节性，将“安全无小事”真正落到实处，更大程度上降低安全生产事故发生几率，具有积极的社会效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实现针对危化品安全生产的多层级、多职能、多方位监管，促使危化品生产经营企业强化安全意识、狠抓安全落实，更加注重安全措施的预防性和细节性，将“安全无小事”真正落到实处，更大程度上降低安全生产事故发生几率，具有积极的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市州应急管理部门满意度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auto"/>
                <w:sz w:val="28"/>
                <w:szCs w:val="28"/>
                <w:highlight w:val="none"/>
                <w:u w:val="none"/>
              </w:rPr>
            </w:pPr>
            <w:r>
              <w:rPr>
                <w:rFonts w:hint="default" w:ascii="Arial" w:hAnsi="Arial" w:eastAsia="宋体" w:cs="Arial"/>
                <w:i w:val="0"/>
                <w:color w:val="000000"/>
                <w:kern w:val="0"/>
                <w:sz w:val="20"/>
                <w:szCs w:val="20"/>
                <w:u w:val="none"/>
                <w:lang w:val="en-US" w:eastAsia="zh-CN" w:bidi="ar"/>
              </w:rPr>
              <w:t>90%</w:t>
            </w:r>
          </w:p>
        </w:tc>
      </w:tr>
    </w:tbl>
    <w:p>
      <w:pPr>
        <w:pStyle w:val="2"/>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108" w:name="_Toc6103_WPSOffice_Level1"/>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104"/>
      <w:bookmarkEnd w:id="107"/>
      <w:bookmarkEnd w:id="108"/>
      <w:bookmarkStart w:id="109" w:name="_Toc15396619"/>
    </w:p>
    <w:p>
      <w:pPr>
        <w:pStyle w:val="4"/>
        <w:rPr>
          <w:rFonts w:ascii="仿宋" w:hAnsi="仿宋" w:eastAsia="仿宋"/>
          <w:color w:val="auto"/>
          <w:highlight w:val="none"/>
        </w:rPr>
      </w:pPr>
      <w:bookmarkStart w:id="110" w:name="_Toc27086_WPSOffice_Level2"/>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109"/>
      <w:bookmarkEnd w:id="110"/>
    </w:p>
    <w:p>
      <w:pPr>
        <w:pStyle w:val="4"/>
        <w:rPr>
          <w:rFonts w:ascii="仿宋" w:hAnsi="仿宋" w:eastAsia="仿宋"/>
          <w:color w:val="auto"/>
          <w:highlight w:val="none"/>
        </w:rPr>
      </w:pPr>
      <w:bookmarkStart w:id="111" w:name="_Toc15396620"/>
      <w:bookmarkStart w:id="112" w:name="_Toc4626_WPSOffice_Level2"/>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111"/>
      <w:bookmarkEnd w:id="112"/>
    </w:p>
    <w:p>
      <w:pPr>
        <w:pStyle w:val="4"/>
        <w:rPr>
          <w:rFonts w:ascii="仿宋" w:hAnsi="仿宋" w:eastAsia="仿宋"/>
          <w:color w:val="auto"/>
          <w:highlight w:val="none"/>
        </w:rPr>
      </w:pPr>
      <w:bookmarkStart w:id="113" w:name="_Toc5742_WPSOffice_Level2"/>
      <w:bookmarkStart w:id="114"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113"/>
      <w:bookmarkEnd w:id="114"/>
    </w:p>
    <w:p>
      <w:pPr>
        <w:pStyle w:val="4"/>
        <w:rPr>
          <w:rFonts w:ascii="仿宋" w:hAnsi="仿宋" w:eastAsia="仿宋"/>
          <w:b w:val="0"/>
          <w:color w:val="auto"/>
          <w:highlight w:val="none"/>
        </w:rPr>
      </w:pPr>
      <w:bookmarkStart w:id="115" w:name="_Toc15396622"/>
      <w:bookmarkStart w:id="116" w:name="_Toc19416_WPSOffice_Level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115"/>
      <w:bookmarkEnd w:id="116"/>
    </w:p>
    <w:p>
      <w:pPr>
        <w:pStyle w:val="4"/>
        <w:rPr>
          <w:rStyle w:val="25"/>
          <w:rFonts w:ascii="仿宋" w:hAnsi="仿宋" w:eastAsia="仿宋"/>
          <w:b w:val="0"/>
          <w:bCs w:val="0"/>
          <w:color w:val="auto"/>
          <w:highlight w:val="none"/>
        </w:rPr>
      </w:pPr>
      <w:bookmarkStart w:id="117" w:name="_Toc30284_WPSOffice_Level2"/>
      <w:bookmarkStart w:id="11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117"/>
      <w:bookmarkEnd w:id="118"/>
      <w:bookmarkStart w:id="119" w:name="_Toc15396624"/>
    </w:p>
    <w:p>
      <w:pPr>
        <w:pStyle w:val="4"/>
        <w:rPr>
          <w:rFonts w:ascii="仿宋" w:hAnsi="仿宋" w:eastAsia="仿宋"/>
          <w:color w:val="auto"/>
          <w:highlight w:val="none"/>
        </w:rPr>
      </w:pPr>
      <w:bookmarkStart w:id="120" w:name="_Toc8261_WPSOffice_Level2"/>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119"/>
      <w:bookmarkEnd w:id="120"/>
    </w:p>
    <w:p>
      <w:pPr>
        <w:pStyle w:val="4"/>
        <w:rPr>
          <w:rFonts w:ascii="仿宋" w:hAnsi="仿宋" w:eastAsia="仿宋"/>
          <w:color w:val="auto"/>
          <w:highlight w:val="none"/>
        </w:rPr>
      </w:pPr>
      <w:bookmarkStart w:id="121" w:name="_Toc15396625"/>
      <w:bookmarkStart w:id="122" w:name="_Toc18955_WPSOffice_Level2"/>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121"/>
      <w:bookmarkEnd w:id="122"/>
    </w:p>
    <w:p>
      <w:pPr>
        <w:pStyle w:val="4"/>
        <w:rPr>
          <w:rFonts w:ascii="仿宋" w:hAnsi="仿宋" w:eastAsia="仿宋"/>
          <w:color w:val="auto"/>
          <w:highlight w:val="none"/>
        </w:rPr>
      </w:pPr>
      <w:bookmarkStart w:id="123" w:name="_Toc10904_WPSOffice_Level2"/>
      <w:bookmarkStart w:id="124"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123"/>
      <w:bookmarkEnd w:id="124"/>
    </w:p>
    <w:p>
      <w:pPr>
        <w:pStyle w:val="4"/>
        <w:rPr>
          <w:rFonts w:ascii="仿宋" w:hAnsi="仿宋" w:eastAsia="仿宋"/>
          <w:color w:val="auto"/>
          <w:highlight w:val="none"/>
        </w:rPr>
      </w:pPr>
      <w:bookmarkStart w:id="125" w:name="_Toc12422_WPSOffice_Level2"/>
      <w:bookmarkStart w:id="126"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125"/>
      <w:bookmarkEnd w:id="126"/>
    </w:p>
    <w:p>
      <w:pPr>
        <w:pStyle w:val="4"/>
        <w:rPr>
          <w:rFonts w:ascii="仿宋" w:hAnsi="仿宋" w:eastAsia="仿宋"/>
          <w:color w:val="auto"/>
          <w:highlight w:val="none"/>
        </w:rPr>
      </w:pPr>
      <w:bookmarkStart w:id="127" w:name="_Toc15396628"/>
      <w:bookmarkStart w:id="128" w:name="_Toc9326_WPSOffice_Level2"/>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127"/>
      <w:bookmarkEnd w:id="128"/>
    </w:p>
    <w:p>
      <w:pPr>
        <w:pStyle w:val="4"/>
        <w:rPr>
          <w:rFonts w:ascii="仿宋" w:hAnsi="仿宋" w:eastAsia="仿宋"/>
          <w:color w:val="auto"/>
          <w:highlight w:val="none"/>
        </w:rPr>
      </w:pPr>
      <w:bookmarkStart w:id="129" w:name="_Toc588_WPSOffice_Level2"/>
      <w:bookmarkStart w:id="130"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29"/>
      <w:bookmarkEnd w:id="130"/>
    </w:p>
    <w:p>
      <w:pPr>
        <w:pStyle w:val="4"/>
        <w:rPr>
          <w:rFonts w:ascii="仿宋" w:hAnsi="仿宋" w:eastAsia="仿宋"/>
          <w:color w:val="auto"/>
          <w:highlight w:val="none"/>
        </w:rPr>
      </w:pPr>
      <w:bookmarkStart w:id="131" w:name="_Toc15396630"/>
      <w:bookmarkStart w:id="132" w:name="_Toc7134_WPSOffice_Level2"/>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131"/>
      <w:bookmarkEnd w:id="132"/>
    </w:p>
    <w:p>
      <w:pPr>
        <w:pStyle w:val="4"/>
        <w:rPr>
          <w:rStyle w:val="25"/>
          <w:rFonts w:hint="eastAsia" w:ascii="仿宋" w:hAnsi="仿宋" w:eastAsia="仿宋"/>
          <w:b w:val="0"/>
          <w:bCs w:val="0"/>
          <w:color w:val="auto"/>
          <w:highlight w:val="none"/>
        </w:rPr>
      </w:pPr>
      <w:bookmarkStart w:id="133" w:name="_Toc15396631"/>
      <w:bookmarkStart w:id="134" w:name="_Toc21976_WPSOffice_Level2"/>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33"/>
      <w:bookmarkEnd w:id="134"/>
    </w:p>
    <w:p>
      <w:pPr>
        <w:rPr>
          <w:rFonts w:hint="eastAsia" w:eastAsia="仿宋"/>
          <w:color w:val="auto"/>
          <w:highlight w:val="none"/>
          <w:lang w:eastAsia="zh-CN"/>
        </w:rPr>
      </w:pPr>
      <w:bookmarkStart w:id="135" w:name="_Toc29511_WPSOffice_Level2"/>
      <w:r>
        <w:rPr>
          <w:rStyle w:val="25"/>
          <w:rFonts w:hint="eastAsia" w:ascii="仿宋" w:hAnsi="仿宋" w:eastAsia="仿宋"/>
          <w:b w:val="0"/>
          <w:bCs w:val="0"/>
          <w:color w:val="auto"/>
          <w:highlight w:val="none"/>
          <w:lang w:eastAsia="zh-CN"/>
        </w:rPr>
        <w:t>十四、国有资本经营预算财政拨款支出决算表</w:t>
      </w:r>
      <w:bookmarkEnd w:id="13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FADE34C"/>
    <w:rsid w:val="10C055FF"/>
    <w:rsid w:val="118107EC"/>
    <w:rsid w:val="11DD6519"/>
    <w:rsid w:val="16BB723D"/>
    <w:rsid w:val="18015F3F"/>
    <w:rsid w:val="1AE5AD15"/>
    <w:rsid w:val="1B4F6C86"/>
    <w:rsid w:val="1BE8440E"/>
    <w:rsid w:val="1D155CEE"/>
    <w:rsid w:val="1DE61C64"/>
    <w:rsid w:val="1FBFA4F3"/>
    <w:rsid w:val="20F57F95"/>
    <w:rsid w:val="240371BF"/>
    <w:rsid w:val="25C741E6"/>
    <w:rsid w:val="276484A3"/>
    <w:rsid w:val="27842671"/>
    <w:rsid w:val="29FD04D3"/>
    <w:rsid w:val="2ABE7A3E"/>
    <w:rsid w:val="2EFA178C"/>
    <w:rsid w:val="30B46D73"/>
    <w:rsid w:val="319F7F4E"/>
    <w:rsid w:val="33EEC8E6"/>
    <w:rsid w:val="36FB2BAB"/>
    <w:rsid w:val="39AE70AB"/>
    <w:rsid w:val="3AAF777C"/>
    <w:rsid w:val="3B8CB8A6"/>
    <w:rsid w:val="3BFFA94B"/>
    <w:rsid w:val="3C0C0783"/>
    <w:rsid w:val="3C5DF075"/>
    <w:rsid w:val="3D7FA6A2"/>
    <w:rsid w:val="3F6E1280"/>
    <w:rsid w:val="3F7A686B"/>
    <w:rsid w:val="3F7FE33A"/>
    <w:rsid w:val="3F9F3A96"/>
    <w:rsid w:val="47BEAE3D"/>
    <w:rsid w:val="493C27E9"/>
    <w:rsid w:val="496F39ED"/>
    <w:rsid w:val="49FF41D3"/>
    <w:rsid w:val="4BE068DB"/>
    <w:rsid w:val="4BF6002B"/>
    <w:rsid w:val="4ECE2238"/>
    <w:rsid w:val="4FADDFFE"/>
    <w:rsid w:val="51DB4B86"/>
    <w:rsid w:val="55333C3E"/>
    <w:rsid w:val="56B13FE7"/>
    <w:rsid w:val="56D62300"/>
    <w:rsid w:val="595D67B6"/>
    <w:rsid w:val="5F6C50B1"/>
    <w:rsid w:val="5FCF814D"/>
    <w:rsid w:val="5FEDED42"/>
    <w:rsid w:val="5FF92419"/>
    <w:rsid w:val="5FFF57FB"/>
    <w:rsid w:val="5FFFC828"/>
    <w:rsid w:val="64CA39A1"/>
    <w:rsid w:val="66CD6EE8"/>
    <w:rsid w:val="679ED3AD"/>
    <w:rsid w:val="6B7AAC02"/>
    <w:rsid w:val="6BF9F738"/>
    <w:rsid w:val="6C4A05C8"/>
    <w:rsid w:val="6D4DC824"/>
    <w:rsid w:val="6DD5262E"/>
    <w:rsid w:val="6EAED0C0"/>
    <w:rsid w:val="6F6B7295"/>
    <w:rsid w:val="6FD39E34"/>
    <w:rsid w:val="6FDF21E6"/>
    <w:rsid w:val="705B8168"/>
    <w:rsid w:val="71DD8B76"/>
    <w:rsid w:val="72734D90"/>
    <w:rsid w:val="75D2A5FE"/>
    <w:rsid w:val="7627AF24"/>
    <w:rsid w:val="774F6576"/>
    <w:rsid w:val="777B41BC"/>
    <w:rsid w:val="77EF2831"/>
    <w:rsid w:val="77F32D69"/>
    <w:rsid w:val="79AD39AC"/>
    <w:rsid w:val="79E7B28D"/>
    <w:rsid w:val="79EF1285"/>
    <w:rsid w:val="7AFAE838"/>
    <w:rsid w:val="7AFF365C"/>
    <w:rsid w:val="7B7B7B9C"/>
    <w:rsid w:val="7B7F8233"/>
    <w:rsid w:val="7BFD32FE"/>
    <w:rsid w:val="7C6F70D9"/>
    <w:rsid w:val="7CBFDC1B"/>
    <w:rsid w:val="7DD38B27"/>
    <w:rsid w:val="7DDB1A07"/>
    <w:rsid w:val="7DFFBDC6"/>
    <w:rsid w:val="7E37C5CF"/>
    <w:rsid w:val="7EDF8DD9"/>
    <w:rsid w:val="7F17AE65"/>
    <w:rsid w:val="7F554ABD"/>
    <w:rsid w:val="7F9F20EE"/>
    <w:rsid w:val="7FBD7AD4"/>
    <w:rsid w:val="7FD77840"/>
    <w:rsid w:val="7FDAE2C9"/>
    <w:rsid w:val="7FE391DF"/>
    <w:rsid w:val="7FE6F4BA"/>
    <w:rsid w:val="7FE72C9D"/>
    <w:rsid w:val="7FE7E739"/>
    <w:rsid w:val="7FE7EB2C"/>
    <w:rsid w:val="7FEE1AAE"/>
    <w:rsid w:val="7FEF7E51"/>
    <w:rsid w:val="7FFDD4AC"/>
    <w:rsid w:val="87EF7BEA"/>
    <w:rsid w:val="9BFF20D3"/>
    <w:rsid w:val="9E3A10E2"/>
    <w:rsid w:val="9F6DFAEA"/>
    <w:rsid w:val="9F9F577A"/>
    <w:rsid w:val="9FF52C40"/>
    <w:rsid w:val="A4BF82E7"/>
    <w:rsid w:val="A9FFF3A0"/>
    <w:rsid w:val="ADF74CF3"/>
    <w:rsid w:val="B17B44B7"/>
    <w:rsid w:val="B7B524FF"/>
    <w:rsid w:val="BEFD180D"/>
    <w:rsid w:val="BFEF43A6"/>
    <w:rsid w:val="BFFD76F7"/>
    <w:rsid w:val="BFFD9065"/>
    <w:rsid w:val="BFFEFF4E"/>
    <w:rsid w:val="C7BD1E9A"/>
    <w:rsid w:val="D6B36B6B"/>
    <w:rsid w:val="D8FDA88E"/>
    <w:rsid w:val="DDFF5198"/>
    <w:rsid w:val="DFB9D6A5"/>
    <w:rsid w:val="DFDBE2E2"/>
    <w:rsid w:val="DFDF79D3"/>
    <w:rsid w:val="E4F9E5B9"/>
    <w:rsid w:val="E5FB20C1"/>
    <w:rsid w:val="EA9F0AE4"/>
    <w:rsid w:val="EBFE9813"/>
    <w:rsid w:val="EDE76A63"/>
    <w:rsid w:val="EFFDA85E"/>
    <w:rsid w:val="EFFF229B"/>
    <w:rsid w:val="F0FDB338"/>
    <w:rsid w:val="F17D3D25"/>
    <w:rsid w:val="F2E1F9D4"/>
    <w:rsid w:val="F66FC16B"/>
    <w:rsid w:val="F6EAA645"/>
    <w:rsid w:val="F7880819"/>
    <w:rsid w:val="F7F23D63"/>
    <w:rsid w:val="F7F67AC0"/>
    <w:rsid w:val="F8FB4E54"/>
    <w:rsid w:val="FBDBE41B"/>
    <w:rsid w:val="FBFFECD9"/>
    <w:rsid w:val="FD9BD3D6"/>
    <w:rsid w:val="FEFB831E"/>
    <w:rsid w:val="FF3FF1F7"/>
    <w:rsid w:val="FF5610A5"/>
    <w:rsid w:val="FF7F33B4"/>
    <w:rsid w:val="FF7FE8AC"/>
    <w:rsid w:val="FFBF1F63"/>
    <w:rsid w:val="FFDC7589"/>
    <w:rsid w:val="FFEBDF3A"/>
    <w:rsid w:val="FFEF4329"/>
    <w:rsid w:val="FFEF6445"/>
    <w:rsid w:val="FFF7A22A"/>
    <w:rsid w:val="FFFDE1ED"/>
    <w:rsid w:val="FFFFB046"/>
    <w:rsid w:val="FFFFDA1E"/>
    <w:rsid w:val="FFFFDF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manualLayout>
          <c:layoutTarget val="inner"/>
          <c:xMode val="edge"/>
          <c:yMode val="edge"/>
          <c:x val="0.133758728629906"/>
          <c:y val="0.216305469556244"/>
          <c:w val="0.816879364314953"/>
          <c:h val="0.714757481940144"/>
        </c:manualLayout>
      </c:layout>
      <c:barChart>
        <c:barDir val="col"/>
        <c:grouping val="clustered"/>
        <c:varyColors val="false"/>
        <c:ser>
          <c:idx val="0"/>
          <c:order val="0"/>
          <c:tx>
            <c:strRef>
              <c:f>Sheet1!$B$1</c:f>
              <c:strCache>
                <c:ptCount val="1"/>
                <c:pt idx="0">
                  <c:v>变动图</c:v>
                </c:pt>
              </c:strCache>
            </c:strRef>
          </c:tx>
          <c:invertIfNegative val="false"/>
          <c:dLbls>
            <c:dLbl>
              <c:idx val="1"/>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28,427.51</a:t>
                    </a:r>
                    <a:endParaRPr altLang="en-US"/>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2020年</c:v>
                </c:pt>
                <c:pt idx="1">
                  <c:v>2021年</c:v>
                </c:pt>
              </c:strCache>
            </c:strRef>
          </c:cat>
          <c:val>
            <c:numRef>
              <c:f>Sheet1!$B$2:$B$3</c:f>
              <c:numCache>
                <c:formatCode>#,##0.00</c:formatCode>
                <c:ptCount val="2"/>
                <c:pt idx="0">
                  <c:v>20411.74</c:v>
                </c:pt>
                <c:pt idx="1">
                  <c:v>28427.51</c:v>
                </c:pt>
              </c:numCache>
            </c:numRef>
          </c:val>
        </c:ser>
        <c:dLbls>
          <c:showLegendKey val="false"/>
          <c:showVal val="true"/>
          <c:showCatName val="false"/>
          <c:showSerName val="false"/>
          <c:showPercent val="false"/>
          <c:showBubbleSize val="false"/>
        </c:dLbls>
        <c:gapWidth val="100"/>
        <c:axId val="257068032"/>
        <c:axId val="357094144"/>
      </c:barChart>
      <c:catAx>
        <c:axId val="25706803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57094144"/>
        <c:crosses val="autoZero"/>
        <c:auto val="true"/>
        <c:lblAlgn val="ctr"/>
        <c:lblOffset val="100"/>
        <c:noMultiLvlLbl val="false"/>
      </c:catAx>
      <c:valAx>
        <c:axId val="357094144"/>
        <c:scaling>
          <c:orientation val="minMax"/>
        </c:scaling>
        <c:delete val="false"/>
        <c:axPos val="l"/>
        <c:majorGridlines/>
        <c:numFmt formatCode="#,##0.00"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57068032"/>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收入决算结构图</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一般公共预算财政拨款收入</c:v>
                </c:pt>
                <c:pt idx="1">
                  <c:v>其他收入</c:v>
                </c:pt>
              </c:strCache>
            </c:strRef>
          </c:cat>
          <c:val>
            <c:numRef>
              <c:f>Sheet1!$B$2:$B$3</c:f>
              <c:numCache>
                <c:formatCode>#,##0.00</c:formatCode>
                <c:ptCount val="2"/>
                <c:pt idx="0">
                  <c:v>27409.28</c:v>
                </c:pt>
                <c:pt idx="1" c:formatCode="_ * #,##0.00_ ;_ * \-#,##0.00_ ;_ * &quot;-&quot;??_ ;_ @_ ">
                  <c:v>1000</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a:t>支出决算结构图</a:t>
            </a:r>
            <a:endParaRPr lang="zh-CN" altLang="en-US"/>
          </a:p>
        </c:rich>
      </c:tx>
      <c:layout/>
      <c:overlay val="false"/>
    </c:title>
    <c:autoTitleDeleted val="false"/>
    <c:plotArea>
      <c:layout/>
      <c:pieChart>
        <c:varyColors val="true"/>
        <c:ser>
          <c:idx val="0"/>
          <c:order val="0"/>
          <c:tx>
            <c:strRef>
              <c:f>Sheet1!$B$1</c:f>
              <c:strCache>
                <c:ptCount val="1"/>
                <c:pt idx="0">
                  <c:v>支出决算结构图</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#,##0.00</c:formatCode>
                <c:ptCount val="2"/>
                <c:pt idx="0">
                  <c:v>5556.64</c:v>
                </c:pt>
                <c:pt idx="1">
                  <c:v>22870.26</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变动图</c:v>
                </c:pt>
              </c:strCache>
            </c:strRef>
          </c:tx>
          <c:invertIfNegative val="false"/>
          <c:dLbls>
            <c:dLbl>
              <c:idx val="1"/>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27,409.28</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2020年</c:v>
                </c:pt>
                <c:pt idx="1">
                  <c:v>2021年</c:v>
                </c:pt>
              </c:strCache>
            </c:strRef>
          </c:cat>
          <c:val>
            <c:numRef>
              <c:f>Sheet1!$B$2:$B$3</c:f>
              <c:numCache>
                <c:formatCode>#,##0.00</c:formatCode>
                <c:ptCount val="2"/>
                <c:pt idx="0">
                  <c:v>20376.74</c:v>
                </c:pt>
                <c:pt idx="1">
                  <c:v>27409.28</c:v>
                </c:pt>
              </c:numCache>
            </c:numRef>
          </c:val>
        </c:ser>
        <c:dLbls>
          <c:showLegendKey val="false"/>
          <c:showVal val="true"/>
          <c:showCatName val="false"/>
          <c:showSerName val="false"/>
          <c:showPercent val="false"/>
          <c:showBubbleSize val="false"/>
        </c:dLbls>
        <c:gapWidth val="100"/>
        <c:axId val="257068032"/>
        <c:axId val="357094144"/>
      </c:barChart>
      <c:catAx>
        <c:axId val="25706803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57094144"/>
        <c:crosses val="autoZero"/>
        <c:auto val="true"/>
        <c:lblAlgn val="ctr"/>
        <c:lblOffset val="100"/>
        <c:noMultiLvlLbl val="false"/>
      </c:catAx>
      <c:valAx>
        <c:axId val="357094144"/>
        <c:scaling>
          <c:orientation val="minMax"/>
        </c:scaling>
        <c:delete val="false"/>
        <c:axPos val="l"/>
        <c:majorGridlines/>
        <c:numFmt formatCode="#,##0.00"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57068032"/>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变动图</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2020年</c:v>
                </c:pt>
                <c:pt idx="1">
                  <c:v>2021年</c:v>
                </c:pt>
              </c:strCache>
            </c:strRef>
          </c:cat>
          <c:val>
            <c:numRef>
              <c:f>Sheet1!$B$2:$B$3</c:f>
              <c:numCache>
                <c:formatCode>#,##0.00</c:formatCode>
                <c:ptCount val="2"/>
                <c:pt idx="0">
                  <c:v>20371.86</c:v>
                </c:pt>
                <c:pt idx="1">
                  <c:v>27408.69</c:v>
                </c:pt>
              </c:numCache>
            </c:numRef>
          </c:val>
        </c:ser>
        <c:dLbls>
          <c:showLegendKey val="false"/>
          <c:showVal val="true"/>
          <c:showCatName val="false"/>
          <c:showSerName val="false"/>
          <c:showPercent val="false"/>
          <c:showBubbleSize val="false"/>
        </c:dLbls>
        <c:gapWidth val="100"/>
        <c:axId val="358635392"/>
        <c:axId val="358179200"/>
      </c:barChart>
      <c:catAx>
        <c:axId val="35863539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58179200"/>
        <c:crosses val="autoZero"/>
        <c:auto val="true"/>
        <c:lblAlgn val="ctr"/>
        <c:lblOffset val="100"/>
        <c:noMultiLvlLbl val="false"/>
      </c:catAx>
      <c:valAx>
        <c:axId val="358179200"/>
        <c:scaling>
          <c:orientation val="minMax"/>
        </c:scaling>
        <c:delete val="false"/>
        <c:axPos val="l"/>
        <c:majorGridlines/>
        <c:numFmt formatCode="#,##0.00"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58635392"/>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一般公共预算财政拨款支出决算结构图</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Lbls>
            <c:dLbl>
              <c:idx val="0"/>
              <c:layout>
                <c:manualLayout>
                  <c:x val="-0.189600860482088"/>
                  <c:y val="0.0299723905415859"/>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1"/>
              <c:layout>
                <c:manualLayout>
                  <c:x val="-0.0922354925588977"/>
                  <c:y val="-0.0257718063792202"/>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2"/>
              <c:layout>
                <c:manualLayout>
                  <c:x val="0.0499562333301233"/>
                  <c:y val="-0.023200219832023"/>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3"/>
              <c:layout>
                <c:manualLayout>
                  <c:x val="0.192887642945805"/>
                  <c:y val="-0.0172657139978159"/>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4"/>
              <c:layout>
                <c:manualLayout>
                  <c:x val="0.104471081936869"/>
                  <c:y val="0.0348373765200311"/>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5"/>
              <c:layout>
                <c:manualLayout>
                  <c:x val="0.193487769973508"/>
                  <c:y val="0.101052535673723"/>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Sheet1!$A$2:$A$7</c:f>
              <c:strCache>
                <c:ptCount val="6"/>
                <c:pt idx="0">
                  <c:v>一般公共服务支出</c:v>
                </c:pt>
                <c:pt idx="1">
                  <c:v>教育支出</c:v>
                </c:pt>
                <c:pt idx="2">
                  <c:v>社会保障和就业支出</c:v>
                </c:pt>
                <c:pt idx="3">
                  <c:v>卫生健康支出</c:v>
                </c:pt>
                <c:pt idx="4">
                  <c:v>住房保障支出</c:v>
                </c:pt>
                <c:pt idx="5">
                  <c:v>灾害防治及应急管理支出</c:v>
                </c:pt>
              </c:strCache>
            </c:strRef>
          </c:cat>
          <c:val>
            <c:numRef>
              <c:f>Sheet1!$B$2:$B$7</c:f>
              <c:numCache>
                <c:formatCode>#,##0.00</c:formatCode>
                <c:ptCount val="6"/>
                <c:pt idx="0">
                  <c:v>16.27</c:v>
                </c:pt>
                <c:pt idx="1">
                  <c:v>394.28</c:v>
                </c:pt>
                <c:pt idx="2">
                  <c:v>392.66</c:v>
                </c:pt>
                <c:pt idx="3">
                  <c:v>245.32</c:v>
                </c:pt>
                <c:pt idx="4">
                  <c:v>463.48</c:v>
                </c:pt>
                <c:pt idx="5" c:formatCode="General">
                  <c:v>25896.67</c:v>
                </c:pt>
              </c:numCache>
            </c:numRef>
          </c:val>
        </c:ser>
        <c:dLbls>
          <c:showLegendKey val="false"/>
          <c:showVal val="true"/>
          <c:showCatName val="false"/>
          <c:showSerName val="false"/>
          <c:showPercent val="true"/>
          <c:showBubbleSize val="false"/>
          <c:showLeaderLines val="true"/>
        </c:dLbls>
        <c:firstSliceAng val="0"/>
      </c:pieChart>
    </c:plotArea>
    <c:legend>
      <c:legendPos val="r"/>
      <c:layout>
        <c:manualLayout>
          <c:xMode val="edge"/>
          <c:yMode val="edge"/>
          <c:x val="0.727907536720443"/>
          <c:y val="0.187616099071207"/>
          <c:w val="0.257645075848784"/>
          <c:h val="0.786584107327141"/>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“三公”经费财政拨款支出结构图</c:v>
                </c:pt>
              </c:strCache>
            </c:strRef>
          </c:tx>
          <c:explosion val="0"/>
          <c:dPt>
            <c:idx val="0"/>
            <c:bubble3D val="false"/>
          </c:dPt>
          <c:dPt>
            <c:idx val="1"/>
            <c:bubble3D val="false"/>
          </c:dPt>
          <c:dPt>
            <c:idx val="2"/>
            <c:bubble3D val="false"/>
          </c:dPt>
          <c:dLbls>
            <c:dLbl>
              <c:idx val="2"/>
              <c:layout>
                <c:manualLayout>
                  <c:x val="0.100752582033318"/>
                  <c:y val="0.04603898260230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#,##0.00</c:formatCode>
                <c:ptCount val="3"/>
                <c:pt idx="0">
                  <c:v>0</c:v>
                </c:pt>
                <c:pt idx="1">
                  <c:v>103.4</c:v>
                </c:pt>
                <c:pt idx="2">
                  <c:v>3.8</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4a44b72-155b-45aa-9afe-b97d0f67a76a}"/>
        <w:style w:val=""/>
        <w:category>
          <w:name w:val="常规"/>
          <w:gallery w:val="placeholder"/>
        </w:category>
        <w:types>
          <w:type w:val="bbPlcHdr"/>
        </w:types>
        <w:behaviors>
          <w:behavior w:val="content"/>
        </w:behaviors>
        <w:description w:val=""/>
        <w:guid w:val="{54a44b72-155b-45aa-9afe-b97d0f67a76a}"/>
      </w:docPartPr>
      <w:docPartBody>
        <w:p>
          <w:r>
            <w:rPr>
              <w:color w:val="808080"/>
            </w:rPr>
            <w:t>单击此处输入文字。</w:t>
          </w:r>
        </w:p>
      </w:docPartBody>
    </w:docPart>
    <w:docPart>
      <w:docPartPr>
        <w:name w:val="{6ea173b1-e8d1-471a-8c4f-4939e8a9cf99}"/>
        <w:style w:val=""/>
        <w:category>
          <w:name w:val="常规"/>
          <w:gallery w:val="placeholder"/>
        </w:category>
        <w:types>
          <w:type w:val="bbPlcHdr"/>
        </w:types>
        <w:behaviors>
          <w:behavior w:val="content"/>
        </w:behaviors>
        <w:description w:val=""/>
        <w:guid w:val="{6ea173b1-e8d1-471a-8c4f-4939e8a9cf99}"/>
      </w:docPartPr>
      <w:docPartBody>
        <w:p>
          <w:r>
            <w:rPr>
              <w:color w:val="808080"/>
            </w:rPr>
            <w:t>单击此处输入文字。</w:t>
          </w:r>
        </w:p>
      </w:docPartBody>
    </w:docPart>
    <w:docPart>
      <w:docPartPr>
        <w:name w:val="{d3fbcc3d-3ffc-43f1-a6fb-aee737240d66}"/>
        <w:style w:val=""/>
        <w:category>
          <w:name w:val="常规"/>
          <w:gallery w:val="placeholder"/>
        </w:category>
        <w:types>
          <w:type w:val="bbPlcHdr"/>
        </w:types>
        <w:behaviors>
          <w:behavior w:val="content"/>
        </w:behaviors>
        <w:description w:val=""/>
        <w:guid w:val="{d3fbcc3d-3ffc-43f1-a6fb-aee737240d66}"/>
      </w:docPartPr>
      <w:docPartBody>
        <w:p>
          <w:r>
            <w:rPr>
              <w:color w:val="808080"/>
            </w:rPr>
            <w:t>单击此处输入文字。</w:t>
          </w:r>
        </w:p>
      </w:docPartBody>
    </w:docPart>
    <w:docPart>
      <w:docPartPr>
        <w:name w:val="{a738429a-3fa2-4893-8fee-2ed908528334}"/>
        <w:style w:val=""/>
        <w:category>
          <w:name w:val="常规"/>
          <w:gallery w:val="placeholder"/>
        </w:category>
        <w:types>
          <w:type w:val="bbPlcHdr"/>
        </w:types>
        <w:behaviors>
          <w:behavior w:val="content"/>
        </w:behaviors>
        <w:description w:val=""/>
        <w:guid w:val="{a738429a-3fa2-4893-8fee-2ed908528334}"/>
      </w:docPartPr>
      <w:docPartBody>
        <w:p>
          <w:r>
            <w:rPr>
              <w:color w:val="808080"/>
            </w:rPr>
            <w:t>单击此处输入文字。</w:t>
          </w:r>
        </w:p>
      </w:docPartBody>
    </w:docPart>
    <w:docPart>
      <w:docPartPr>
        <w:name w:val="{3c6ef2f8-c8fd-49a0-9571-1384fb4f939c}"/>
        <w:style w:val=""/>
        <w:category>
          <w:name w:val="常规"/>
          <w:gallery w:val="placeholder"/>
        </w:category>
        <w:types>
          <w:type w:val="bbPlcHdr"/>
        </w:types>
        <w:behaviors>
          <w:behavior w:val="content"/>
        </w:behaviors>
        <w:description w:val=""/>
        <w:guid w:val="{3c6ef2f8-c8fd-49a0-9571-1384fb4f939c}"/>
      </w:docPartPr>
      <w:docPartBody>
        <w:p>
          <w:r>
            <w:rPr>
              <w:color w:val="808080"/>
            </w:rPr>
            <w:t>单击此处输入文字。</w:t>
          </w:r>
        </w:p>
      </w:docPartBody>
    </w:docPart>
    <w:docPart>
      <w:docPartPr>
        <w:name w:val="{a316cb3a-fda3-4c2f-a730-174a610dbfe0}"/>
        <w:style w:val=""/>
        <w:category>
          <w:name w:val="常规"/>
          <w:gallery w:val="placeholder"/>
        </w:category>
        <w:types>
          <w:type w:val="bbPlcHdr"/>
        </w:types>
        <w:behaviors>
          <w:behavior w:val="content"/>
        </w:behaviors>
        <w:description w:val=""/>
        <w:guid w:val="{a316cb3a-fda3-4c2f-a730-174a610dbfe0}"/>
      </w:docPartPr>
      <w:docPartBody>
        <w:p>
          <w:r>
            <w:rPr>
              <w:color w:val="808080"/>
            </w:rPr>
            <w:t>单击此处输入文字。</w:t>
          </w:r>
        </w:p>
      </w:docPartBody>
    </w:docPart>
    <w:docPart>
      <w:docPartPr>
        <w:name w:val="{7049945f-5225-495a-bbb3-1fc2d7211189}"/>
        <w:style w:val=""/>
        <w:category>
          <w:name w:val="常规"/>
          <w:gallery w:val="placeholder"/>
        </w:category>
        <w:types>
          <w:type w:val="bbPlcHdr"/>
        </w:types>
        <w:behaviors>
          <w:behavior w:val="content"/>
        </w:behaviors>
        <w:description w:val=""/>
        <w:guid w:val="{7049945f-5225-495a-bbb3-1fc2d7211189}"/>
      </w:docPartPr>
      <w:docPartBody>
        <w:p>
          <w:r>
            <w:rPr>
              <w:color w:val="808080"/>
            </w:rPr>
            <w:t>单击此处输入文字。</w:t>
          </w:r>
        </w:p>
      </w:docPartBody>
    </w:docPart>
    <w:docPart>
      <w:docPartPr>
        <w:name w:val="{fedde52c-1e53-46ae-a325-095fbde2cc40}"/>
        <w:style w:val=""/>
        <w:category>
          <w:name w:val="常规"/>
          <w:gallery w:val="placeholder"/>
        </w:category>
        <w:types>
          <w:type w:val="bbPlcHdr"/>
        </w:types>
        <w:behaviors>
          <w:behavior w:val="content"/>
        </w:behaviors>
        <w:description w:val=""/>
        <w:guid w:val="{fedde52c-1e53-46ae-a325-095fbde2cc40}"/>
      </w:docPartPr>
      <w:docPartBody>
        <w:p>
          <w:r>
            <w:rPr>
              <w:color w:val="808080"/>
            </w:rPr>
            <w:t>单击此处输入文字。</w:t>
          </w:r>
        </w:p>
      </w:docPartBody>
    </w:docPart>
    <w:docPart>
      <w:docPartPr>
        <w:name w:val="{50b853b3-ad8f-48ae-b508-bb8fc498cc34}"/>
        <w:style w:val=""/>
        <w:category>
          <w:name w:val="常规"/>
          <w:gallery w:val="placeholder"/>
        </w:category>
        <w:types>
          <w:type w:val="bbPlcHdr"/>
        </w:types>
        <w:behaviors>
          <w:behavior w:val="content"/>
        </w:behaviors>
        <w:description w:val=""/>
        <w:guid w:val="{50b853b3-ad8f-48ae-b508-bb8fc498cc34}"/>
      </w:docPartPr>
      <w:docPartBody>
        <w:p>
          <w:r>
            <w:rPr>
              <w:color w:val="808080"/>
            </w:rPr>
            <w:t>单击此处输入文字。</w:t>
          </w:r>
        </w:p>
      </w:docPartBody>
    </w:docPart>
    <w:docPart>
      <w:docPartPr>
        <w:name w:val="{6e016ea4-014d-49a9-90a3-c00c9ce536a3}"/>
        <w:style w:val=""/>
        <w:category>
          <w:name w:val="常规"/>
          <w:gallery w:val="placeholder"/>
        </w:category>
        <w:types>
          <w:type w:val="bbPlcHdr"/>
        </w:types>
        <w:behaviors>
          <w:behavior w:val="content"/>
        </w:behaviors>
        <w:description w:val=""/>
        <w:guid w:val="{6e016ea4-014d-49a9-90a3-c00c9ce536a3}"/>
      </w:docPartPr>
      <w:docPartBody>
        <w:p>
          <w:r>
            <w:rPr>
              <w:color w:val="808080"/>
            </w:rPr>
            <w:t>单击此处输入文字。</w:t>
          </w:r>
        </w:p>
      </w:docPartBody>
    </w:docPart>
    <w:docPart>
      <w:docPartPr>
        <w:name w:val="{767fd439-8c97-4782-b331-155f47a8df6c}"/>
        <w:style w:val=""/>
        <w:category>
          <w:name w:val="常规"/>
          <w:gallery w:val="placeholder"/>
        </w:category>
        <w:types>
          <w:type w:val="bbPlcHdr"/>
        </w:types>
        <w:behaviors>
          <w:behavior w:val="content"/>
        </w:behaviors>
        <w:description w:val=""/>
        <w:guid w:val="{767fd439-8c97-4782-b331-155f47a8df6c}"/>
      </w:docPartPr>
      <w:docPartBody>
        <w:p>
          <w:r>
            <w:rPr>
              <w:color w:val="808080"/>
            </w:rPr>
            <w:t>单击此处输入文字。</w:t>
          </w:r>
        </w:p>
      </w:docPartBody>
    </w:docPart>
    <w:docPart>
      <w:docPartPr>
        <w:name w:val="{a0f9878a-fcc1-4960-ad8f-968460d260c9}"/>
        <w:style w:val=""/>
        <w:category>
          <w:name w:val="常规"/>
          <w:gallery w:val="placeholder"/>
        </w:category>
        <w:types>
          <w:type w:val="bbPlcHdr"/>
        </w:types>
        <w:behaviors>
          <w:behavior w:val="content"/>
        </w:behaviors>
        <w:description w:val=""/>
        <w:guid w:val="{a0f9878a-fcc1-4960-ad8f-968460d260c9}"/>
      </w:docPartPr>
      <w:docPartBody>
        <w:p>
          <w:r>
            <w:rPr>
              <w:color w:val="808080"/>
            </w:rPr>
            <w:t>单击此处输入文字。</w:t>
          </w:r>
        </w:p>
      </w:docPartBody>
    </w:docPart>
    <w:docPart>
      <w:docPartPr>
        <w:name w:val="{827bead8-c07e-4c33-9c8f-619a362babf8}"/>
        <w:style w:val=""/>
        <w:category>
          <w:name w:val="常规"/>
          <w:gallery w:val="placeholder"/>
        </w:category>
        <w:types>
          <w:type w:val="bbPlcHdr"/>
        </w:types>
        <w:behaviors>
          <w:behavior w:val="content"/>
        </w:behaviors>
        <w:description w:val=""/>
        <w:guid w:val="{827bead8-c07e-4c33-9c8f-619a362babf8}"/>
      </w:docPartPr>
      <w:docPartBody>
        <w:p>
          <w:r>
            <w:rPr>
              <w:color w:val="808080"/>
            </w:rPr>
            <w:t>单击此处输入文字。</w:t>
          </w:r>
        </w:p>
      </w:docPartBody>
    </w:docPart>
    <w:docPart>
      <w:docPartPr>
        <w:name w:val="{f1145b0d-c17d-43c7-b78d-6853a4fee98d}"/>
        <w:style w:val=""/>
        <w:category>
          <w:name w:val="常规"/>
          <w:gallery w:val="placeholder"/>
        </w:category>
        <w:types>
          <w:type w:val="bbPlcHdr"/>
        </w:types>
        <w:behaviors>
          <w:behavior w:val="content"/>
        </w:behaviors>
        <w:description w:val=""/>
        <w:guid w:val="{f1145b0d-c17d-43c7-b78d-6853a4fee98d}"/>
      </w:docPartPr>
      <w:docPartBody>
        <w:p>
          <w:r>
            <w:rPr>
              <w:color w:val="808080"/>
            </w:rPr>
            <w:t>单击此处输入文字。</w:t>
          </w:r>
        </w:p>
      </w:docPartBody>
    </w:docPart>
    <w:docPart>
      <w:docPartPr>
        <w:name w:val="{548eec40-bdd2-41ab-bd72-22af610c5907}"/>
        <w:style w:val=""/>
        <w:category>
          <w:name w:val="常规"/>
          <w:gallery w:val="placeholder"/>
        </w:category>
        <w:types>
          <w:type w:val="bbPlcHdr"/>
        </w:types>
        <w:behaviors>
          <w:behavior w:val="content"/>
        </w:behaviors>
        <w:description w:val=""/>
        <w:guid w:val="{548eec40-bdd2-41ab-bd72-22af610c5907}"/>
      </w:docPartPr>
      <w:docPartBody>
        <w:p>
          <w:r>
            <w:rPr>
              <w:color w:val="808080"/>
            </w:rPr>
            <w:t>单击此处输入文字。</w:t>
          </w:r>
        </w:p>
      </w:docPartBody>
    </w:docPart>
    <w:docPart>
      <w:docPartPr>
        <w:name w:val="{45c9c4c4-a1e1-4a6d-9a73-778b6f026a8d}"/>
        <w:style w:val=""/>
        <w:category>
          <w:name w:val="常规"/>
          <w:gallery w:val="placeholder"/>
        </w:category>
        <w:types>
          <w:type w:val="bbPlcHdr"/>
        </w:types>
        <w:behaviors>
          <w:behavior w:val="content"/>
        </w:behaviors>
        <w:description w:val=""/>
        <w:guid w:val="{45c9c4c4-a1e1-4a6d-9a73-778b6f026a8d}"/>
      </w:docPartPr>
      <w:docPartBody>
        <w:p>
          <w:r>
            <w:rPr>
              <w:color w:val="808080"/>
            </w:rPr>
            <w:t>单击此处输入文字。</w:t>
          </w:r>
        </w:p>
      </w:docPartBody>
    </w:docPart>
    <w:docPart>
      <w:docPartPr>
        <w:name w:val="{fa0d1230-2326-46ae-9985-f4d0bdf72c45}"/>
        <w:style w:val=""/>
        <w:category>
          <w:name w:val="常规"/>
          <w:gallery w:val="placeholder"/>
        </w:category>
        <w:types>
          <w:type w:val="bbPlcHdr"/>
        </w:types>
        <w:behaviors>
          <w:behavior w:val="content"/>
        </w:behaviors>
        <w:description w:val=""/>
        <w:guid w:val="{fa0d1230-2326-46ae-9985-f4d0bdf72c45}"/>
      </w:docPartPr>
      <w:docPartBody>
        <w:p>
          <w:r>
            <w:rPr>
              <w:color w:val="808080"/>
            </w:rPr>
            <w:t>单击此处输入文字。</w:t>
          </w:r>
        </w:p>
      </w:docPartBody>
    </w:docPart>
    <w:docPart>
      <w:docPartPr>
        <w:name w:val="{6826c7e2-a02c-423d-88ac-27733be6c8b4}"/>
        <w:style w:val=""/>
        <w:category>
          <w:name w:val="常规"/>
          <w:gallery w:val="placeholder"/>
        </w:category>
        <w:types>
          <w:type w:val="bbPlcHdr"/>
        </w:types>
        <w:behaviors>
          <w:behavior w:val="content"/>
        </w:behaviors>
        <w:description w:val=""/>
        <w:guid w:val="{6826c7e2-a02c-423d-88ac-27733be6c8b4}"/>
      </w:docPartPr>
      <w:docPartBody>
        <w:p>
          <w:r>
            <w:rPr>
              <w:color w:val="808080"/>
            </w:rPr>
            <w:t>单击此处输入文字。</w:t>
          </w:r>
        </w:p>
      </w:docPartBody>
    </w:docPart>
    <w:docPart>
      <w:docPartPr>
        <w:name w:val="{5d4dc653-041e-4772-82bb-9593a78cc402}"/>
        <w:style w:val=""/>
        <w:category>
          <w:name w:val="常规"/>
          <w:gallery w:val="placeholder"/>
        </w:category>
        <w:types>
          <w:type w:val="bbPlcHdr"/>
        </w:types>
        <w:behaviors>
          <w:behavior w:val="content"/>
        </w:behaviors>
        <w:description w:val=""/>
        <w:guid w:val="{5d4dc653-041e-4772-82bb-9593a78cc402}"/>
      </w:docPartPr>
      <w:docPartBody>
        <w:p>
          <w:r>
            <w:rPr>
              <w:color w:val="808080"/>
            </w:rPr>
            <w:t>单击此处输入文字。</w:t>
          </w:r>
        </w:p>
      </w:docPartBody>
    </w:docPart>
    <w:docPart>
      <w:docPartPr>
        <w:name w:val="{c5f20a87-2218-4d41-abb8-fce246984fe5}"/>
        <w:style w:val=""/>
        <w:category>
          <w:name w:val="常规"/>
          <w:gallery w:val="placeholder"/>
        </w:category>
        <w:types>
          <w:type w:val="bbPlcHdr"/>
        </w:types>
        <w:behaviors>
          <w:behavior w:val="content"/>
        </w:behaviors>
        <w:description w:val=""/>
        <w:guid w:val="{c5f20a87-2218-4d41-abb8-fce246984fe5}"/>
      </w:docPartPr>
      <w:docPartBody>
        <w:p>
          <w:r>
            <w:rPr>
              <w:color w:val="808080"/>
            </w:rPr>
            <w:t>单击此处输入文字。</w:t>
          </w:r>
        </w:p>
      </w:docPartBody>
    </w:docPart>
    <w:docPart>
      <w:docPartPr>
        <w:name w:val="{2b11d6e9-4e8a-4b92-8b0b-1b82ed5fbcf3}"/>
        <w:style w:val=""/>
        <w:category>
          <w:name w:val="常规"/>
          <w:gallery w:val="placeholder"/>
        </w:category>
        <w:types>
          <w:type w:val="bbPlcHdr"/>
        </w:types>
        <w:behaviors>
          <w:behavior w:val="content"/>
        </w:behaviors>
        <w:description w:val=""/>
        <w:guid w:val="{2b11d6e9-4e8a-4b92-8b0b-1b82ed5fbcf3}"/>
      </w:docPartPr>
      <w:docPartBody>
        <w:p>
          <w:r>
            <w:rPr>
              <w:color w:val="808080"/>
            </w:rPr>
            <w:t>单击此处输入文字。</w:t>
          </w:r>
        </w:p>
      </w:docPartBody>
    </w:docPart>
    <w:docPart>
      <w:docPartPr>
        <w:name w:val="{0b26788c-2604-437e-bf6d-334aa9292ec4}"/>
        <w:style w:val=""/>
        <w:category>
          <w:name w:val="常规"/>
          <w:gallery w:val="placeholder"/>
        </w:category>
        <w:types>
          <w:type w:val="bbPlcHdr"/>
        </w:types>
        <w:behaviors>
          <w:behavior w:val="content"/>
        </w:behaviors>
        <w:description w:val=""/>
        <w:guid w:val="{0b26788c-2604-437e-bf6d-334aa9292ec4}"/>
      </w:docPartPr>
      <w:docPartBody>
        <w:p>
          <w:r>
            <w:rPr>
              <w:color w:val="808080"/>
            </w:rPr>
            <w:t>单击此处输入文字。</w:t>
          </w:r>
        </w:p>
      </w:docPartBody>
    </w:docPart>
    <w:docPart>
      <w:docPartPr>
        <w:name w:val="{359f55ac-83cc-4093-9e80-49b7e74d49e3}"/>
        <w:style w:val=""/>
        <w:category>
          <w:name w:val="常规"/>
          <w:gallery w:val="placeholder"/>
        </w:category>
        <w:types>
          <w:type w:val="bbPlcHdr"/>
        </w:types>
        <w:behaviors>
          <w:behavior w:val="content"/>
        </w:behaviors>
        <w:description w:val=""/>
        <w:guid w:val="{359f55ac-83cc-4093-9e80-49b7e74d49e3}"/>
      </w:docPartPr>
      <w:docPartBody>
        <w:p>
          <w:r>
            <w:rPr>
              <w:color w:val="808080"/>
            </w:rPr>
            <w:t>单击此处输入文字。</w:t>
          </w:r>
        </w:p>
      </w:docPartBody>
    </w:docPart>
    <w:docPart>
      <w:docPartPr>
        <w:name w:val="{9ee7b25b-53aa-4bf9-a315-6140c942a325}"/>
        <w:style w:val=""/>
        <w:category>
          <w:name w:val="常规"/>
          <w:gallery w:val="placeholder"/>
        </w:category>
        <w:types>
          <w:type w:val="bbPlcHdr"/>
        </w:types>
        <w:behaviors>
          <w:behavior w:val="content"/>
        </w:behaviors>
        <w:description w:val=""/>
        <w:guid w:val="{9ee7b25b-53aa-4bf9-a315-6140c942a325}"/>
      </w:docPartPr>
      <w:docPartBody>
        <w:p>
          <w:r>
            <w:rPr>
              <w:color w:val="808080"/>
            </w:rPr>
            <w:t>单击此处输入文字。</w:t>
          </w:r>
        </w:p>
      </w:docPartBody>
    </w:docPart>
    <w:docPart>
      <w:docPartPr>
        <w:name w:val="{2b2ef43f-46aa-4080-827a-3cb773e6d648}"/>
        <w:style w:val=""/>
        <w:category>
          <w:name w:val="常规"/>
          <w:gallery w:val="placeholder"/>
        </w:category>
        <w:types>
          <w:type w:val="bbPlcHdr"/>
        </w:types>
        <w:behaviors>
          <w:behavior w:val="content"/>
        </w:behaviors>
        <w:description w:val=""/>
        <w:guid w:val="{2b2ef43f-46aa-4080-827a-3cb773e6d648}"/>
      </w:docPartPr>
      <w:docPartBody>
        <w:p>
          <w:r>
            <w:rPr>
              <w:color w:val="808080"/>
            </w:rPr>
            <w:t>单击此处输入文字。</w:t>
          </w:r>
        </w:p>
      </w:docPartBody>
    </w:docPart>
    <w:docPart>
      <w:docPartPr>
        <w:name w:val="{a5dc78d5-0fd4-47a7-a317-c12b3e4e22d5}"/>
        <w:style w:val=""/>
        <w:category>
          <w:name w:val="常规"/>
          <w:gallery w:val="placeholder"/>
        </w:category>
        <w:types>
          <w:type w:val="bbPlcHdr"/>
        </w:types>
        <w:behaviors>
          <w:behavior w:val="content"/>
        </w:behaviors>
        <w:description w:val=""/>
        <w:guid w:val="{a5dc78d5-0fd4-47a7-a317-c12b3e4e22d5}"/>
      </w:docPartPr>
      <w:docPartBody>
        <w:p>
          <w:r>
            <w:rPr>
              <w:color w:val="808080"/>
            </w:rPr>
            <w:t>单击此处输入文字。</w:t>
          </w:r>
        </w:p>
      </w:docPartBody>
    </w:docPart>
    <w:docPart>
      <w:docPartPr>
        <w:name w:val="{8ed4ae7a-01ee-4c58-912b-53a7ba295a7f}"/>
        <w:style w:val=""/>
        <w:category>
          <w:name w:val="常规"/>
          <w:gallery w:val="placeholder"/>
        </w:category>
        <w:types>
          <w:type w:val="bbPlcHdr"/>
        </w:types>
        <w:behaviors>
          <w:behavior w:val="content"/>
        </w:behaviors>
        <w:description w:val=""/>
        <w:guid w:val="{8ed4ae7a-01ee-4c58-912b-53a7ba295a7f}"/>
      </w:docPartPr>
      <w:docPartBody>
        <w:p>
          <w:r>
            <w:rPr>
              <w:color w:val="808080"/>
            </w:rPr>
            <w:t>单击此处输入文字。</w:t>
          </w:r>
        </w:p>
      </w:docPartBody>
    </w:docPart>
    <w:docPart>
      <w:docPartPr>
        <w:name w:val="{92a87042-a988-44ea-a607-98ccc818bb03}"/>
        <w:style w:val=""/>
        <w:category>
          <w:name w:val="常规"/>
          <w:gallery w:val="placeholder"/>
        </w:category>
        <w:types>
          <w:type w:val="bbPlcHdr"/>
        </w:types>
        <w:behaviors>
          <w:behavior w:val="content"/>
        </w:behaviors>
        <w:description w:val=""/>
        <w:guid w:val="{92a87042-a988-44ea-a607-98ccc818bb03}"/>
      </w:docPartPr>
      <w:docPartBody>
        <w:p>
          <w:r>
            <w:rPr>
              <w:color w:val="808080"/>
            </w:rPr>
            <w:t>单击此处输入文字。</w:t>
          </w:r>
        </w:p>
      </w:docPartBody>
    </w:docPart>
    <w:docPart>
      <w:docPartPr>
        <w:name w:val="{0760ee8d-1dfd-4d68-96c4-ce1643efda1d}"/>
        <w:style w:val=""/>
        <w:category>
          <w:name w:val="常规"/>
          <w:gallery w:val="placeholder"/>
        </w:category>
        <w:types>
          <w:type w:val="bbPlcHdr"/>
        </w:types>
        <w:behaviors>
          <w:behavior w:val="content"/>
        </w:behaviors>
        <w:description w:val=""/>
        <w:guid w:val="{0760ee8d-1dfd-4d68-96c4-ce1643efda1d}"/>
      </w:docPartPr>
      <w:docPartBody>
        <w:p>
          <w:r>
            <w:rPr>
              <w:color w:val="808080"/>
            </w:rPr>
            <w:t>单击此处输入文字。</w:t>
          </w:r>
        </w:p>
      </w:docPartBody>
    </w:docPart>
    <w:docPart>
      <w:docPartPr>
        <w:name w:val="{d18dd875-c9f1-4d48-82eb-1e3e5082bebe}"/>
        <w:style w:val=""/>
        <w:category>
          <w:name w:val="常规"/>
          <w:gallery w:val="placeholder"/>
        </w:category>
        <w:types>
          <w:type w:val="bbPlcHdr"/>
        </w:types>
        <w:behaviors>
          <w:behavior w:val="content"/>
        </w:behaviors>
        <w:description w:val=""/>
        <w:guid w:val="{d18dd875-c9f1-4d48-82eb-1e3e5082bebe}"/>
      </w:docPartPr>
      <w:docPartBody>
        <w:p>
          <w:r>
            <w:rPr>
              <w:color w:val="808080"/>
            </w:rPr>
            <w:t>单击此处输入文字。</w:t>
          </w:r>
        </w:p>
      </w:docPartBody>
    </w:docPart>
    <w:docPart>
      <w:docPartPr>
        <w:name w:val="{6b5670e3-bae7-463f-8758-d569e5384d29}"/>
        <w:style w:val=""/>
        <w:category>
          <w:name w:val="常规"/>
          <w:gallery w:val="placeholder"/>
        </w:category>
        <w:types>
          <w:type w:val="bbPlcHdr"/>
        </w:types>
        <w:behaviors>
          <w:behavior w:val="content"/>
        </w:behaviors>
        <w:description w:val=""/>
        <w:guid w:val="{6b5670e3-bae7-463f-8758-d569e5384d2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2022-08-07T02:23:00Z</cp:lastPrinted>
  <dcterms:modified xsi:type="dcterms:W3CDTF">2022-11-14T09:39:22Z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