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425"/>
      <w:bookmarkStart w:id="3" w:name="_Toc15378441"/>
      <w:bookmarkStart w:id="4" w:name="_Toc15396475"/>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应急保障中心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footerReference r:id="rId5" w:type="first"/>
          <w:headerReference r:id="rId3" w:type="default"/>
          <w:footerReference r:id="rId4" w:type="default"/>
          <w:pgSz w:w="11906" w:h="16838"/>
          <w:pgMar w:top="2098" w:right="1474" w:bottom="1984" w:left="1587" w:header="851" w:footer="992" w:gutter="0"/>
          <w:pgNumType w:fmt="decimal"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4"/>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4"/>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5"/>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5"/>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p>
    <w:p>
      <w:pPr>
        <w:pStyle w:val="14"/>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5"/>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5"/>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4"/>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4"/>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4"/>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5"/>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5"/>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5"/>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Style w:val="30"/>
          <w:rFonts w:hint="eastAsia" w:ascii="方正公文小标宋" w:hAnsi="方正公文小标宋" w:eastAsia="方正公文小标宋" w:cs="方正公文小标宋"/>
          <w:b/>
          <w:bCs w:val="0"/>
          <w:color w:val="auto"/>
          <w:highlight w:val="none"/>
        </w:rPr>
      </w:pPr>
      <w:r>
        <w:rPr>
          <w:rFonts w:hint="eastAsia" w:ascii="方正公文小标宋" w:hAnsi="方正公文小标宋" w:eastAsia="方正公文小标宋" w:cs="方正公文小标宋"/>
          <w:b w:val="0"/>
          <w:color w:val="auto"/>
          <w:highlight w:val="none"/>
        </w:rPr>
        <w:t xml:space="preserve">第一部分 </w:t>
      </w:r>
      <w:r>
        <w:rPr>
          <w:rFonts w:hint="eastAsia" w:ascii="方正公文小标宋" w:hAnsi="方正公文小标宋" w:eastAsia="方正公文小标宋" w:cs="方正公文小标宋"/>
          <w:b w:val="0"/>
          <w:color w:val="auto"/>
          <w:highlight w:val="none"/>
          <w:lang w:eastAsia="zh-CN"/>
        </w:rPr>
        <w:t>单位</w:t>
      </w:r>
      <w:r>
        <w:rPr>
          <w:rStyle w:val="30"/>
          <w:rFonts w:hint="eastAsia" w:ascii="方正公文小标宋" w:hAnsi="方正公文小标宋" w:eastAsia="方正公文小标宋" w:cs="方正公文小标宋"/>
          <w:b w:val="0"/>
          <w:bCs w:val="0"/>
          <w:color w:val="auto"/>
          <w:highlight w:val="none"/>
        </w:rPr>
        <w:t>概况</w:t>
      </w:r>
      <w:bookmarkEnd w:id="12"/>
      <w:bookmarkEnd w:id="13"/>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textAlignment w:val="auto"/>
        <w:rPr>
          <w:rStyle w:val="31"/>
          <w:rFonts w:hint="eastAsia" w:ascii="黑体" w:hAnsi="黑体" w:eastAsia="黑体"/>
          <w:b w:val="0"/>
          <w:bCs w:val="0"/>
          <w:color w:val="auto"/>
          <w:highlight w:val="none"/>
          <w:lang w:eastAsia="zh-CN"/>
        </w:rPr>
      </w:pPr>
      <w:bookmarkStart w:id="14" w:name="_Toc15377197"/>
      <w:bookmarkStart w:id="15" w:name="_Toc15396600"/>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31"/>
          <w:rFonts w:hint="eastAsia" w:ascii="黑体" w:hAnsi="黑体" w:eastAsia="黑体"/>
          <w:b w:val="0"/>
          <w:bCs w:val="0"/>
          <w:color w:val="auto"/>
          <w:highlight w:val="none"/>
          <w:lang w:eastAsia="zh-CN"/>
        </w:rPr>
      </w:pPr>
      <w:r>
        <w:rPr>
          <w:rStyle w:val="31"/>
          <w:rFonts w:hint="eastAsia" w:ascii="黑体" w:hAnsi="黑体" w:eastAsia="黑体"/>
          <w:b w:val="0"/>
          <w:bCs w:val="0"/>
          <w:color w:val="auto"/>
          <w:highlight w:val="none"/>
          <w:lang w:eastAsia="zh-CN"/>
        </w:rPr>
        <w:t>一、</w:t>
      </w:r>
      <w:r>
        <w:rPr>
          <w:rStyle w:val="31"/>
          <w:rFonts w:hint="eastAsia" w:ascii="黑体" w:hAnsi="黑体" w:eastAsia="黑体"/>
          <w:b w:val="0"/>
          <w:bCs w:val="0"/>
          <w:color w:val="auto"/>
          <w:highlight w:val="none"/>
        </w:rPr>
        <w:t>职能</w:t>
      </w:r>
      <w:r>
        <w:rPr>
          <w:rStyle w:val="31"/>
          <w:rFonts w:hint="eastAsia" w:ascii="黑体" w:hAnsi="黑体" w:eastAsia="黑体"/>
          <w:b w:val="0"/>
          <w:bCs w:val="0"/>
          <w:color w:val="auto"/>
          <w:highlight w:val="none"/>
          <w:lang w:eastAsia="zh-CN"/>
        </w:rPr>
        <w:t>简介</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31"/>
          <w:rFonts w:hint="eastAsia" w:ascii="仿宋" w:hAnsi="仿宋" w:eastAsia="仿宋" w:cs="仿宋"/>
          <w:b w:val="0"/>
          <w:bCs w:val="0"/>
          <w:color w:val="auto"/>
          <w:highlight w:val="none"/>
          <w:lang w:eastAsia="zh-CN"/>
        </w:rPr>
      </w:pPr>
      <w:r>
        <w:rPr>
          <w:rStyle w:val="31"/>
          <w:rFonts w:hint="eastAsia" w:ascii="仿宋" w:hAnsi="仿宋" w:eastAsia="仿宋" w:cs="仿宋"/>
          <w:b w:val="0"/>
          <w:bCs w:val="0"/>
          <w:color w:val="auto"/>
          <w:highlight w:val="none"/>
          <w:lang w:eastAsia="zh-CN"/>
        </w:rPr>
        <w:t>四</w:t>
      </w:r>
      <w:r>
        <w:rPr>
          <w:rStyle w:val="31"/>
          <w:rFonts w:hint="eastAsia" w:ascii="仿宋" w:hAnsi="仿宋" w:eastAsia="仿宋" w:cs="仿宋"/>
          <w:b w:val="0"/>
          <w:bCs w:val="0"/>
          <w:color w:val="auto"/>
          <w:highlight w:val="none"/>
          <w:lang w:val="en-US" w:eastAsia="zh-CN"/>
        </w:rPr>
        <w:t>川省应急管理保障中心是根据省编办《关于部分事业单位有关机构编制事项调整的通知》（川编发〔2020〕25号），由原水利厅所属省防汛抗旱指挥部办公室转隶更名成立的单位，核定编制60名，领导职数1正3副</w:t>
      </w:r>
      <w:r>
        <w:rPr>
          <w:rStyle w:val="31"/>
          <w:rFonts w:hint="eastAsia" w:ascii="仿宋" w:hAnsi="仿宋" w:eastAsia="仿宋" w:cs="仿宋"/>
          <w:b w:val="0"/>
          <w:bCs w:val="0"/>
          <w:color w:val="auto"/>
          <w:highlight w:val="none"/>
          <w:lang w:eastAsia="zh-CN"/>
        </w:rPr>
        <w:t>。转隶前财政预算代码319908，转隶后财政预算代码345602。主要承担安全生产类、自然灾害类等突发事件和防灾减灾等相关应急综合保障职责。</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31"/>
          <w:rFonts w:hint="eastAsia" w:ascii="黑体" w:hAnsi="黑体" w:eastAsia="黑体"/>
          <w:b w:val="0"/>
          <w:bCs w:val="0"/>
          <w:color w:val="auto"/>
          <w:highlight w:val="none"/>
          <w:lang w:eastAsia="zh-CN"/>
        </w:rPr>
      </w:pPr>
      <w:r>
        <w:rPr>
          <w:rStyle w:val="31"/>
          <w:rFonts w:hint="eastAsia" w:ascii="黑体" w:hAnsi="黑体" w:eastAsia="黑体"/>
          <w:b w:val="0"/>
          <w:bCs w:val="0"/>
          <w:color w:val="auto"/>
          <w:highlight w:val="none"/>
          <w:lang w:val="en-US" w:eastAsia="zh-CN"/>
        </w:rPr>
        <w:t>二、2021年重点</w:t>
      </w:r>
      <w:r>
        <w:rPr>
          <w:rStyle w:val="31"/>
          <w:rFonts w:hint="eastAsia" w:ascii="黑体" w:hAnsi="黑体" w:eastAsia="黑体"/>
          <w:b w:val="0"/>
          <w:bCs w:val="0"/>
          <w:color w:val="auto"/>
          <w:highlight w:val="none"/>
          <w:lang w:eastAsia="zh-CN"/>
        </w:rPr>
        <w:t>工作</w:t>
      </w:r>
      <w:bookmarkEnd w:id="14"/>
      <w:bookmarkEnd w:id="15"/>
      <w:r>
        <w:rPr>
          <w:rStyle w:val="31"/>
          <w:rFonts w:hint="eastAsia" w:ascii="黑体" w:hAnsi="黑体" w:eastAsia="黑体"/>
          <w:b w:val="0"/>
          <w:bCs w:val="0"/>
          <w:color w:val="auto"/>
          <w:highlight w:val="none"/>
          <w:lang w:eastAsia="zh-CN"/>
        </w:rPr>
        <w:t>完成情况</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3" w:firstLineChars="200"/>
        <w:textAlignment w:val="auto"/>
        <w:rPr>
          <w:rStyle w:val="31"/>
          <w:rFonts w:hint="eastAsia" w:ascii="仿宋" w:hAnsi="仿宋" w:eastAsia="仿宋" w:cs="仿宋"/>
          <w:b w:val="0"/>
          <w:bCs w:val="0"/>
          <w:color w:val="auto"/>
          <w:highlight w:val="none"/>
          <w:lang w:val="en-US" w:eastAsia="zh-CN"/>
        </w:rPr>
      </w:pPr>
      <w:r>
        <w:rPr>
          <w:rStyle w:val="31"/>
          <w:rFonts w:hint="eastAsia" w:ascii="仿宋" w:hAnsi="仿宋" w:eastAsia="仿宋" w:cs="仿宋"/>
          <w:b/>
          <w:bCs/>
          <w:color w:val="auto"/>
          <w:highlight w:val="none"/>
          <w:lang w:val="en-US" w:eastAsia="zh-CN"/>
        </w:rPr>
        <w:t>（一）强基固本，不断夯实组织建设。</w:t>
      </w:r>
      <w:r>
        <w:rPr>
          <w:rStyle w:val="31"/>
          <w:rFonts w:hint="eastAsia" w:ascii="仿宋" w:hAnsi="仿宋" w:eastAsia="仿宋" w:cs="仿宋"/>
          <w:b w:val="0"/>
          <w:bCs w:val="0"/>
          <w:color w:val="auto"/>
          <w:highlight w:val="none"/>
          <w:lang w:val="en-US" w:eastAsia="zh-CN"/>
        </w:rPr>
        <w:t>深入开展党史学习教育，制定全年计划，开展专题学习研讨</w:t>
      </w:r>
      <w:r>
        <w:rPr>
          <w:rStyle w:val="31"/>
          <w:rFonts w:hint="eastAsia" w:ascii="仿宋" w:hAnsi="仿宋" w:eastAsia="仿宋" w:cs="仿宋"/>
          <w:b w:val="0"/>
          <w:bCs w:val="0"/>
          <w:color w:val="auto"/>
          <w:highlight w:val="none"/>
          <w:lang w:val="en" w:eastAsia="zh-CN"/>
        </w:rPr>
        <w:t>10</w:t>
      </w:r>
      <w:r>
        <w:rPr>
          <w:rStyle w:val="31"/>
          <w:rFonts w:hint="eastAsia" w:ascii="仿宋" w:hAnsi="仿宋" w:eastAsia="仿宋" w:cs="仿宋"/>
          <w:b w:val="0"/>
          <w:bCs w:val="0"/>
          <w:color w:val="auto"/>
          <w:highlight w:val="none"/>
          <w:lang w:val="en-US" w:eastAsia="zh-CN"/>
        </w:rPr>
        <w:t>次、现场教学</w:t>
      </w:r>
      <w:r>
        <w:rPr>
          <w:rStyle w:val="31"/>
          <w:rFonts w:hint="eastAsia" w:ascii="仿宋" w:hAnsi="仿宋" w:eastAsia="仿宋" w:cs="仿宋"/>
          <w:b w:val="0"/>
          <w:bCs w:val="0"/>
          <w:color w:val="auto"/>
          <w:highlight w:val="none"/>
          <w:lang w:val="en" w:eastAsia="zh-CN"/>
        </w:rPr>
        <w:t>4次</w:t>
      </w:r>
      <w:r>
        <w:rPr>
          <w:rStyle w:val="31"/>
          <w:rFonts w:hint="eastAsia" w:ascii="仿宋" w:hAnsi="仿宋" w:eastAsia="仿宋" w:cs="仿宋"/>
          <w:b w:val="0"/>
          <w:bCs w:val="0"/>
          <w:color w:val="auto"/>
          <w:highlight w:val="none"/>
          <w:lang w:val="en-US" w:eastAsia="zh-CN"/>
        </w:rPr>
        <w:t>，听微党课2次、专家专题讲座2次，分管厅领导讲党史专题党课1次，支部书记讲党史专题党课、宣讲“七一”重要讲话精神各</w:t>
      </w:r>
      <w:r>
        <w:rPr>
          <w:rStyle w:val="31"/>
          <w:rFonts w:hint="eastAsia" w:ascii="仿宋" w:hAnsi="仿宋" w:eastAsia="仿宋" w:cs="仿宋"/>
          <w:b w:val="0"/>
          <w:bCs w:val="0"/>
          <w:color w:val="auto"/>
          <w:highlight w:val="none"/>
          <w:lang w:val="en" w:eastAsia="zh-CN"/>
        </w:rPr>
        <w:t>1</w:t>
      </w:r>
      <w:r>
        <w:rPr>
          <w:rStyle w:val="31"/>
          <w:rFonts w:hint="eastAsia" w:ascii="仿宋" w:hAnsi="仿宋" w:eastAsia="仿宋" w:cs="仿宋"/>
          <w:b w:val="0"/>
          <w:bCs w:val="0"/>
          <w:color w:val="auto"/>
          <w:highlight w:val="none"/>
          <w:lang w:val="en-US" w:eastAsia="zh-CN"/>
        </w:rPr>
        <w:t>次，党员讲微党课</w:t>
      </w:r>
      <w:r>
        <w:rPr>
          <w:rStyle w:val="31"/>
          <w:rFonts w:hint="eastAsia" w:ascii="仿宋" w:hAnsi="仿宋" w:eastAsia="仿宋" w:cs="仿宋"/>
          <w:b w:val="0"/>
          <w:bCs w:val="0"/>
          <w:color w:val="auto"/>
          <w:highlight w:val="none"/>
          <w:lang w:val="en" w:eastAsia="zh-CN"/>
        </w:rPr>
        <w:t>9</w:t>
      </w:r>
      <w:r>
        <w:rPr>
          <w:rStyle w:val="31"/>
          <w:rFonts w:hint="eastAsia" w:ascii="仿宋" w:hAnsi="仿宋" w:eastAsia="仿宋" w:cs="仿宋"/>
          <w:b w:val="0"/>
          <w:bCs w:val="0"/>
          <w:color w:val="auto"/>
          <w:highlight w:val="none"/>
          <w:lang w:val="en-US" w:eastAsia="zh-CN"/>
        </w:rPr>
        <w:t>次，召开专题组织生活会</w:t>
      </w:r>
      <w:r>
        <w:rPr>
          <w:rStyle w:val="31"/>
          <w:rFonts w:hint="eastAsia" w:ascii="仿宋" w:hAnsi="仿宋" w:eastAsia="仿宋" w:cs="仿宋"/>
          <w:b w:val="0"/>
          <w:bCs w:val="0"/>
          <w:color w:val="auto"/>
          <w:highlight w:val="none"/>
          <w:lang w:val="en" w:eastAsia="zh-CN"/>
        </w:rPr>
        <w:t>1</w:t>
      </w:r>
      <w:r>
        <w:rPr>
          <w:rStyle w:val="31"/>
          <w:rFonts w:hint="eastAsia" w:ascii="仿宋" w:hAnsi="仿宋" w:eastAsia="仿宋" w:cs="仿宋"/>
          <w:b w:val="0"/>
          <w:bCs w:val="0"/>
          <w:color w:val="auto"/>
          <w:highlight w:val="none"/>
          <w:lang w:val="en-US" w:eastAsia="zh-CN"/>
        </w:rPr>
        <w:t>次。严格党内政治生活，2021年召开党员大会</w:t>
      </w:r>
      <w:r>
        <w:rPr>
          <w:rStyle w:val="31"/>
          <w:rFonts w:hint="eastAsia" w:ascii="仿宋" w:hAnsi="仿宋" w:eastAsia="仿宋" w:cs="仿宋"/>
          <w:b w:val="0"/>
          <w:bCs w:val="0"/>
          <w:color w:val="auto"/>
          <w:highlight w:val="none"/>
          <w:lang w:val="en" w:eastAsia="zh-CN"/>
        </w:rPr>
        <w:t>12</w:t>
      </w:r>
      <w:r>
        <w:rPr>
          <w:rStyle w:val="31"/>
          <w:rFonts w:hint="eastAsia" w:ascii="仿宋" w:hAnsi="仿宋" w:eastAsia="仿宋" w:cs="仿宋"/>
          <w:b w:val="0"/>
          <w:bCs w:val="0"/>
          <w:color w:val="auto"/>
          <w:highlight w:val="none"/>
          <w:lang w:val="en-US" w:eastAsia="zh-CN"/>
        </w:rPr>
        <w:t>次、支委会</w:t>
      </w:r>
      <w:r>
        <w:rPr>
          <w:rStyle w:val="31"/>
          <w:rFonts w:hint="eastAsia" w:ascii="仿宋" w:hAnsi="仿宋" w:eastAsia="仿宋" w:cs="仿宋"/>
          <w:b w:val="0"/>
          <w:bCs w:val="0"/>
          <w:color w:val="auto"/>
          <w:highlight w:val="none"/>
          <w:lang w:val="en" w:eastAsia="zh-CN"/>
        </w:rPr>
        <w:t>1</w:t>
      </w:r>
      <w:r>
        <w:rPr>
          <w:rStyle w:val="31"/>
          <w:rFonts w:hint="eastAsia" w:ascii="仿宋" w:hAnsi="仿宋" w:eastAsia="仿宋" w:cs="仿宋"/>
          <w:b w:val="0"/>
          <w:bCs w:val="0"/>
          <w:color w:val="auto"/>
          <w:highlight w:val="none"/>
          <w:lang w:val="en-US" w:eastAsia="zh-CN"/>
        </w:rPr>
        <w:t>8次、主题党日活动</w:t>
      </w:r>
      <w:r>
        <w:rPr>
          <w:rStyle w:val="31"/>
          <w:rFonts w:hint="eastAsia" w:ascii="仿宋" w:hAnsi="仿宋" w:eastAsia="仿宋" w:cs="仿宋"/>
          <w:b w:val="0"/>
          <w:bCs w:val="0"/>
          <w:color w:val="auto"/>
          <w:highlight w:val="none"/>
          <w:lang w:val="en" w:eastAsia="zh-CN"/>
        </w:rPr>
        <w:t>12</w:t>
      </w:r>
      <w:r>
        <w:rPr>
          <w:rStyle w:val="31"/>
          <w:rFonts w:hint="eastAsia" w:ascii="仿宋" w:hAnsi="仿宋" w:eastAsia="仿宋" w:cs="仿宋"/>
          <w:b w:val="0"/>
          <w:bCs w:val="0"/>
          <w:color w:val="auto"/>
          <w:highlight w:val="none"/>
          <w:lang w:val="en-US" w:eastAsia="zh-CN"/>
        </w:rPr>
        <w:t>次，党课</w:t>
      </w:r>
      <w:r>
        <w:rPr>
          <w:rStyle w:val="31"/>
          <w:rFonts w:hint="eastAsia" w:ascii="仿宋" w:hAnsi="仿宋" w:eastAsia="仿宋" w:cs="仿宋"/>
          <w:b w:val="0"/>
          <w:bCs w:val="0"/>
          <w:color w:val="auto"/>
          <w:highlight w:val="none"/>
          <w:lang w:val="en" w:eastAsia="zh-CN"/>
        </w:rPr>
        <w:t>4次（含廉政党课1次），支部书记</w:t>
      </w:r>
      <w:r>
        <w:rPr>
          <w:rStyle w:val="31"/>
          <w:rFonts w:hint="eastAsia" w:ascii="仿宋" w:hAnsi="仿宋" w:eastAsia="仿宋" w:cs="仿宋"/>
          <w:b w:val="0"/>
          <w:bCs w:val="0"/>
          <w:color w:val="auto"/>
          <w:highlight w:val="none"/>
          <w:lang w:val="en-US" w:eastAsia="zh-CN"/>
        </w:rPr>
        <w:t>理论宣讲</w:t>
      </w:r>
      <w:r>
        <w:rPr>
          <w:rStyle w:val="31"/>
          <w:rFonts w:hint="eastAsia" w:ascii="仿宋" w:hAnsi="仿宋" w:eastAsia="仿宋" w:cs="仿宋"/>
          <w:b w:val="0"/>
          <w:bCs w:val="0"/>
          <w:color w:val="auto"/>
          <w:highlight w:val="none"/>
          <w:lang w:val="en" w:eastAsia="zh-CN"/>
        </w:rPr>
        <w:t>3次，谈心谈话全覆盖152人次</w:t>
      </w:r>
      <w:r>
        <w:rPr>
          <w:rStyle w:val="31"/>
          <w:rFonts w:hint="eastAsia" w:ascii="仿宋" w:hAnsi="仿宋" w:eastAsia="仿宋" w:cs="仿宋"/>
          <w:b w:val="0"/>
          <w:bCs w:val="0"/>
          <w:color w:val="auto"/>
          <w:highlight w:val="none"/>
          <w:lang w:val="en-US" w:eastAsia="zh-CN"/>
        </w:rPr>
        <w:t>。持续抓好正风肃纪，坚持每年开年第一个工作日专题研究党风廉政建设工作，讲廉政专题党课，深入开展“讲规矩、守纪律、促作为”警示教育月活动。</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3" w:firstLineChars="200"/>
        <w:textAlignment w:val="auto"/>
        <w:rPr>
          <w:rStyle w:val="31"/>
          <w:rFonts w:hint="eastAsia" w:ascii="仿宋" w:hAnsi="仿宋" w:eastAsia="仿宋" w:cs="仿宋"/>
          <w:b w:val="0"/>
          <w:bCs w:val="0"/>
          <w:color w:val="auto"/>
          <w:highlight w:val="none"/>
          <w:lang w:val="en-US" w:eastAsia="zh-CN"/>
        </w:rPr>
      </w:pPr>
      <w:r>
        <w:rPr>
          <w:rStyle w:val="31"/>
          <w:rFonts w:hint="eastAsia" w:ascii="仿宋" w:hAnsi="仿宋" w:eastAsia="仿宋" w:cs="仿宋"/>
          <w:b/>
          <w:bCs/>
          <w:color w:val="auto"/>
          <w:highlight w:val="none"/>
          <w:lang w:val="en-US" w:eastAsia="zh-CN"/>
        </w:rPr>
        <w:t>（二）凝心聚力，持续强化队伍建设。</w:t>
      </w:r>
      <w:r>
        <w:rPr>
          <w:rStyle w:val="31"/>
          <w:rFonts w:hint="eastAsia" w:ascii="仿宋" w:hAnsi="仿宋" w:eastAsia="仿宋" w:cs="仿宋"/>
          <w:b w:val="0"/>
          <w:bCs w:val="0"/>
          <w:color w:val="auto"/>
          <w:highlight w:val="none"/>
          <w:lang w:val="en-US" w:eastAsia="zh-CN"/>
        </w:rPr>
        <w:t>立足职能职责，针对性开展培训。组织全体干部职工进行心理测评和培训。组织实地学习5</w:t>
      </w:r>
      <w:r>
        <w:rPr>
          <w:rStyle w:val="31"/>
          <w:rFonts w:hint="eastAsia" w:ascii="仿宋" w:hAnsi="仿宋" w:eastAsia="仿宋" w:cs="仿宋"/>
          <w:b w:val="0"/>
          <w:bCs w:val="0"/>
          <w:color w:val="auto"/>
          <w:highlight w:val="none"/>
          <w:lang w:val="en" w:eastAsia="zh-CN"/>
        </w:rPr>
        <w:t>次、</w:t>
      </w:r>
      <w:r>
        <w:rPr>
          <w:rStyle w:val="31"/>
          <w:rFonts w:hint="eastAsia" w:ascii="仿宋" w:hAnsi="仿宋" w:eastAsia="仿宋" w:cs="仿宋"/>
          <w:b w:val="0"/>
          <w:bCs w:val="0"/>
          <w:color w:val="auto"/>
          <w:highlight w:val="none"/>
          <w:lang w:val="en-US" w:eastAsia="zh-CN"/>
        </w:rPr>
        <w:t>战勤保障拉动演练</w:t>
      </w:r>
      <w:r>
        <w:rPr>
          <w:rStyle w:val="31"/>
          <w:rFonts w:hint="eastAsia" w:ascii="仿宋" w:hAnsi="仿宋" w:eastAsia="仿宋" w:cs="仿宋"/>
          <w:b w:val="0"/>
          <w:bCs w:val="0"/>
          <w:color w:val="auto"/>
          <w:highlight w:val="none"/>
          <w:lang w:val="en" w:eastAsia="zh-CN"/>
        </w:rPr>
        <w:t>1次</w:t>
      </w:r>
      <w:r>
        <w:rPr>
          <w:rStyle w:val="31"/>
          <w:rFonts w:hint="eastAsia" w:ascii="仿宋" w:hAnsi="仿宋" w:eastAsia="仿宋" w:cs="仿宋"/>
          <w:b w:val="0"/>
          <w:bCs w:val="0"/>
          <w:color w:val="auto"/>
          <w:highlight w:val="none"/>
          <w:lang w:val="en-US" w:eastAsia="zh-CN"/>
        </w:rPr>
        <w:t>、综合保障业务实训</w:t>
      </w:r>
      <w:r>
        <w:rPr>
          <w:rStyle w:val="31"/>
          <w:rFonts w:hint="eastAsia" w:ascii="仿宋" w:hAnsi="仿宋" w:eastAsia="仿宋" w:cs="仿宋"/>
          <w:b w:val="0"/>
          <w:bCs w:val="0"/>
          <w:color w:val="auto"/>
          <w:highlight w:val="none"/>
          <w:lang w:val="en" w:eastAsia="zh-CN"/>
        </w:rPr>
        <w:t>2次</w:t>
      </w:r>
      <w:r>
        <w:rPr>
          <w:rStyle w:val="31"/>
          <w:rFonts w:hint="eastAsia" w:ascii="仿宋" w:hAnsi="仿宋" w:eastAsia="仿宋" w:cs="仿宋"/>
          <w:b w:val="0"/>
          <w:bCs w:val="0"/>
          <w:color w:val="auto"/>
          <w:highlight w:val="none"/>
          <w:lang w:val="en-US" w:eastAsia="zh-CN"/>
        </w:rPr>
        <w:t>、保障中心“今天我来讲”活动12次。选派干部参加保密、写作、宣传、党务等各类培训17人次。干部队伍综合能力素养大大提升，干事创业精神有力提振，在“应急使命·2021”抗震救灾演习中，一名同志受应急管理部表彰，记个人三等功。保障中心党支部获评厅机关党委表彰的“先进党组织”荣誉称号，2名党员干部分别获先进个人称号（1名优秀党务工作者、1名优秀共产党员）。</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3" w:firstLineChars="200"/>
        <w:textAlignment w:val="auto"/>
        <w:rPr>
          <w:rStyle w:val="31"/>
          <w:rFonts w:hint="eastAsia" w:ascii="仿宋" w:hAnsi="仿宋" w:eastAsia="仿宋" w:cs="仿宋"/>
          <w:b w:val="0"/>
          <w:bCs w:val="0"/>
          <w:color w:val="auto"/>
          <w:highlight w:val="none"/>
          <w:lang w:val="en-US" w:eastAsia="zh-CN"/>
        </w:rPr>
      </w:pPr>
      <w:r>
        <w:rPr>
          <w:rStyle w:val="31"/>
          <w:rFonts w:hint="eastAsia" w:ascii="仿宋" w:hAnsi="仿宋" w:eastAsia="仿宋" w:cs="仿宋"/>
          <w:b/>
          <w:bCs/>
          <w:color w:val="auto"/>
          <w:highlight w:val="none"/>
          <w:lang w:val="en-US" w:eastAsia="zh-CN"/>
        </w:rPr>
        <w:t>（三）建章立制，持续强化内部管理。</w:t>
      </w:r>
      <w:r>
        <w:rPr>
          <w:rStyle w:val="31"/>
          <w:rFonts w:hint="eastAsia" w:ascii="仿宋" w:hAnsi="仿宋" w:eastAsia="仿宋" w:cs="仿宋"/>
          <w:b w:val="0"/>
          <w:bCs w:val="0"/>
          <w:color w:val="auto"/>
          <w:highlight w:val="none"/>
          <w:lang w:val="en-US" w:eastAsia="zh-CN"/>
        </w:rPr>
        <w:t>制定保障中心《2021年度工作要点及责任清单》《2021年度党建及党风廉政建设工作要点》《支部委员分工方案》《人员分组及职责分工方案（试行）》《员工量化考核办法（试行）》《采购管理办法》等制度办法，对督查督办事项、领导批示事项、会议议定事项建立“及时拉单列条、持续更新进度、限时办结销号”的工作机制，促进工作提质增效。今年以来，收文</w:t>
      </w:r>
      <w:r>
        <w:rPr>
          <w:rStyle w:val="31"/>
          <w:rFonts w:hint="eastAsia" w:ascii="仿宋" w:hAnsi="仿宋" w:eastAsia="仿宋" w:cs="仿宋"/>
          <w:b w:val="0"/>
          <w:bCs w:val="0"/>
          <w:color w:val="auto"/>
          <w:highlight w:val="none"/>
          <w:lang w:val="en" w:eastAsia="zh-CN"/>
        </w:rPr>
        <w:t>207</w:t>
      </w:r>
      <w:r>
        <w:rPr>
          <w:rStyle w:val="31"/>
          <w:rFonts w:hint="eastAsia" w:ascii="仿宋" w:hAnsi="仿宋" w:eastAsia="仿宋" w:cs="仿宋"/>
          <w:b w:val="0"/>
          <w:bCs w:val="0"/>
          <w:color w:val="auto"/>
          <w:highlight w:val="none"/>
          <w:lang w:val="en-US" w:eastAsia="zh-CN"/>
        </w:rPr>
        <w:t>件，成功办文</w:t>
      </w:r>
      <w:r>
        <w:rPr>
          <w:rStyle w:val="31"/>
          <w:rFonts w:hint="eastAsia" w:ascii="仿宋" w:hAnsi="仿宋" w:eastAsia="仿宋" w:cs="仿宋"/>
          <w:b w:val="0"/>
          <w:bCs w:val="0"/>
          <w:color w:val="auto"/>
          <w:highlight w:val="none"/>
          <w:lang w:val="en" w:eastAsia="zh-CN"/>
        </w:rPr>
        <w:t>207</w:t>
      </w:r>
      <w:r>
        <w:rPr>
          <w:rStyle w:val="31"/>
          <w:rFonts w:hint="eastAsia" w:ascii="仿宋" w:hAnsi="仿宋" w:eastAsia="仿宋" w:cs="仿宋"/>
          <w:b w:val="0"/>
          <w:bCs w:val="0"/>
          <w:color w:val="auto"/>
          <w:highlight w:val="none"/>
          <w:lang w:val="en-US" w:eastAsia="zh-CN"/>
        </w:rPr>
        <w:t>件，报送政务信息</w:t>
      </w:r>
      <w:r>
        <w:rPr>
          <w:rStyle w:val="31"/>
          <w:rFonts w:hint="eastAsia" w:ascii="仿宋" w:hAnsi="仿宋" w:eastAsia="仿宋" w:cs="仿宋"/>
          <w:b w:val="0"/>
          <w:bCs w:val="0"/>
          <w:color w:val="auto"/>
          <w:highlight w:val="none"/>
          <w:lang w:val="en" w:eastAsia="zh-CN"/>
        </w:rPr>
        <w:t>10</w:t>
      </w:r>
      <w:r>
        <w:rPr>
          <w:rStyle w:val="31"/>
          <w:rFonts w:hint="eastAsia" w:ascii="仿宋" w:hAnsi="仿宋" w:eastAsia="仿宋" w:cs="仿宋"/>
          <w:b w:val="0"/>
          <w:bCs w:val="0"/>
          <w:color w:val="auto"/>
          <w:highlight w:val="none"/>
          <w:lang w:val="en-US" w:eastAsia="zh-CN"/>
        </w:rPr>
        <w:t>条。</w:t>
      </w:r>
    </w:p>
    <w:p>
      <w:pPr>
        <w:rPr>
          <w:rStyle w:val="31"/>
          <w:rFonts w:hint="eastAsia" w:ascii="仿宋" w:hAnsi="仿宋" w:eastAsia="仿宋" w:cs="仿宋"/>
          <w:b w:val="0"/>
          <w:bCs w:val="0"/>
          <w:color w:val="auto"/>
          <w:highlight w:val="none"/>
          <w:lang w:val="en-US" w:eastAsia="zh-CN" w:bidi="ar-SA"/>
        </w:rPr>
      </w:pPr>
      <w:r>
        <w:rPr>
          <w:rStyle w:val="31"/>
          <w:rFonts w:hint="eastAsia" w:ascii="仿宋" w:hAnsi="仿宋" w:eastAsia="仿宋" w:cs="仿宋"/>
          <w:color w:val="auto"/>
          <w:highlight w:val="none"/>
          <w:lang w:val="en-US" w:eastAsia="zh-CN" w:bidi="ar-SA"/>
        </w:rPr>
        <w:t>（四）立足本职，不断提升机关服务水平。</w:t>
      </w:r>
      <w:r>
        <w:rPr>
          <w:rStyle w:val="31"/>
          <w:rFonts w:hint="eastAsia" w:ascii="仿宋" w:hAnsi="仿宋" w:eastAsia="仿宋" w:cs="仿宋"/>
          <w:b w:val="0"/>
          <w:bCs w:val="0"/>
          <w:color w:val="auto"/>
          <w:highlight w:val="none"/>
          <w:lang w:val="en-US" w:eastAsia="zh-CN" w:bidi="ar-SA"/>
        </w:rPr>
        <w:t>结合“我为群众办实事”实践活动切实提升日常服务保障水平。认真做好外来人员询问登记、设施设备定期巡检维保等日常工作，以及迎“七一”</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textAlignment w:val="auto"/>
        <w:rPr>
          <w:rStyle w:val="31"/>
          <w:rFonts w:hint="eastAsia" w:ascii="仿宋" w:hAnsi="仿宋" w:eastAsia="仿宋" w:cs="仿宋"/>
          <w:b w:val="0"/>
          <w:bCs w:val="0"/>
          <w:color w:val="auto"/>
          <w:highlight w:val="none"/>
          <w:lang w:val="en-US" w:eastAsia="zh-CN"/>
        </w:rPr>
      </w:pPr>
      <w:r>
        <w:rPr>
          <w:rStyle w:val="31"/>
          <w:rFonts w:hint="eastAsia" w:ascii="仿宋" w:hAnsi="仿宋" w:eastAsia="仿宋" w:cs="仿宋"/>
          <w:b w:val="0"/>
          <w:bCs w:val="0"/>
          <w:color w:val="auto"/>
          <w:highlight w:val="none"/>
          <w:lang w:val="en-US" w:eastAsia="zh-CN"/>
        </w:rPr>
        <w:t>厅机关氛围营造和安保工作。开展安全教育暨驾驶员技能比武活动，提升驾驶员公务用车安全意识和技能水平。有序推进节约型机关创建工作，制定制度办法</w:t>
      </w:r>
      <w:r>
        <w:rPr>
          <w:rStyle w:val="31"/>
          <w:rFonts w:hint="eastAsia" w:ascii="仿宋" w:hAnsi="仿宋" w:eastAsia="仿宋" w:cs="仿宋"/>
          <w:b w:val="0"/>
          <w:bCs w:val="0"/>
          <w:color w:val="auto"/>
          <w:highlight w:val="none"/>
          <w:lang w:val="en" w:eastAsia="zh-CN"/>
        </w:rPr>
        <w:t>12</w:t>
      </w:r>
      <w:r>
        <w:rPr>
          <w:rStyle w:val="31"/>
          <w:rFonts w:hint="eastAsia" w:ascii="仿宋" w:hAnsi="仿宋" w:eastAsia="仿宋" w:cs="仿宋"/>
          <w:b w:val="0"/>
          <w:bCs w:val="0"/>
          <w:color w:val="auto"/>
          <w:highlight w:val="none"/>
          <w:lang w:val="en-US" w:eastAsia="zh-CN"/>
        </w:rPr>
        <w:t>个，积极开展“节能宣传周”等活动。</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3" w:firstLineChars="200"/>
        <w:textAlignment w:val="auto"/>
        <w:rPr>
          <w:rStyle w:val="31"/>
          <w:rFonts w:hint="eastAsia" w:ascii="仿宋" w:hAnsi="仿宋" w:eastAsia="仿宋" w:cs="仿宋"/>
          <w:b w:val="0"/>
          <w:bCs w:val="0"/>
          <w:color w:val="auto"/>
          <w:highlight w:val="none"/>
          <w:lang w:val="en-US" w:eastAsia="zh-CN"/>
        </w:rPr>
      </w:pPr>
      <w:r>
        <w:rPr>
          <w:rStyle w:val="31"/>
          <w:rFonts w:hint="eastAsia" w:ascii="仿宋" w:hAnsi="仿宋" w:eastAsia="仿宋" w:cs="仿宋"/>
          <w:b/>
          <w:bCs/>
          <w:color w:val="auto"/>
          <w:highlight w:val="none"/>
          <w:lang w:val="en-US" w:eastAsia="zh-CN"/>
        </w:rPr>
        <w:t>（五）对标实战，持续强化战勤保障能力。</w:t>
      </w:r>
      <w:r>
        <w:rPr>
          <w:rStyle w:val="31"/>
          <w:rFonts w:hint="eastAsia" w:ascii="仿宋" w:hAnsi="仿宋" w:eastAsia="仿宋" w:cs="仿宋"/>
          <w:b w:val="0"/>
          <w:bCs w:val="0"/>
          <w:color w:val="auto"/>
          <w:highlight w:val="none"/>
          <w:lang w:val="en-US" w:eastAsia="zh-CN"/>
        </w:rPr>
        <w:t>进一步完善保障中心《应急突发事件后勤保障责任与编成》，积极融入各灾种应急预案“7+N”后勤保障组和全勤指挥部，联合兄弟部门组织“地震演练周”战勤保障拉动演练，开展全省应急系统综合保障业务骨干开展培训实训4</w:t>
      </w:r>
      <w:r>
        <w:rPr>
          <w:rStyle w:val="31"/>
          <w:rFonts w:hint="eastAsia" w:ascii="仿宋" w:hAnsi="仿宋" w:eastAsia="仿宋" w:cs="仿宋"/>
          <w:b w:val="0"/>
          <w:bCs w:val="0"/>
          <w:color w:val="auto"/>
          <w:highlight w:val="none"/>
          <w:lang w:val="en" w:eastAsia="zh-CN"/>
        </w:rPr>
        <w:t>00人次</w:t>
      </w:r>
      <w:r>
        <w:rPr>
          <w:rStyle w:val="31"/>
          <w:rFonts w:hint="eastAsia" w:ascii="仿宋" w:hAnsi="仿宋" w:eastAsia="仿宋" w:cs="仿宋"/>
          <w:b w:val="0"/>
          <w:bCs w:val="0"/>
          <w:color w:val="auto"/>
          <w:highlight w:val="none"/>
          <w:lang w:val="en-US" w:eastAsia="zh-CN"/>
        </w:rPr>
        <w:t>，检验提升战勤保障能力。圆满完成“</w:t>
      </w:r>
      <w:r>
        <w:rPr>
          <w:rStyle w:val="31"/>
          <w:rFonts w:hint="eastAsia" w:ascii="仿宋" w:hAnsi="仿宋" w:eastAsia="仿宋" w:cs="仿宋"/>
          <w:b w:val="0"/>
          <w:bCs w:val="0"/>
          <w:color w:val="auto"/>
          <w:highlight w:val="none"/>
          <w:lang w:val="en" w:eastAsia="zh-CN"/>
        </w:rPr>
        <w:t>9.16”泸县6.0级地震、雅安天全泥石流</w:t>
      </w:r>
      <w:r>
        <w:rPr>
          <w:rStyle w:val="31"/>
          <w:rFonts w:hint="eastAsia" w:ascii="仿宋" w:hAnsi="仿宋" w:eastAsia="仿宋" w:cs="仿宋"/>
          <w:b w:val="0"/>
          <w:bCs w:val="0"/>
          <w:color w:val="auto"/>
          <w:highlight w:val="none"/>
          <w:lang w:val="en-US" w:eastAsia="zh-CN"/>
        </w:rPr>
        <w:t>等各类应急出动的应急保障和全勤指挥部日常保障任务。</w:t>
      </w: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3" w:firstLineChars="200"/>
        <w:textAlignment w:val="auto"/>
        <w:rPr>
          <w:rStyle w:val="31"/>
          <w:rFonts w:hint="eastAsia" w:ascii="仿宋" w:hAnsi="仿宋" w:eastAsia="仿宋" w:cs="仿宋"/>
          <w:b w:val="0"/>
          <w:bCs w:val="0"/>
          <w:color w:val="auto"/>
          <w:highlight w:val="none"/>
          <w:lang w:val="en-US" w:eastAsia="zh-CN"/>
        </w:rPr>
      </w:pPr>
      <w:r>
        <w:rPr>
          <w:rStyle w:val="31"/>
          <w:rFonts w:hint="eastAsia" w:ascii="仿宋" w:hAnsi="仿宋" w:eastAsia="仿宋" w:cs="仿宋"/>
          <w:b/>
          <w:bCs/>
          <w:color w:val="auto"/>
          <w:highlight w:val="none"/>
          <w:lang w:val="en-US" w:eastAsia="zh-CN"/>
        </w:rPr>
        <w:t>（六）慎终如始，持续筑牢内控防线。</w:t>
      </w:r>
      <w:r>
        <w:rPr>
          <w:rStyle w:val="31"/>
          <w:rFonts w:hint="eastAsia" w:ascii="仿宋" w:hAnsi="仿宋" w:eastAsia="仿宋" w:cs="仿宋"/>
          <w:b w:val="0"/>
          <w:bCs w:val="0"/>
          <w:color w:val="auto"/>
          <w:highlight w:val="none"/>
          <w:lang w:val="en-US" w:eastAsia="zh-CN"/>
        </w:rPr>
        <w:t>起草《关于进一步加强疫情防控工作的建议方案》，发出通知及温馨提示4</w:t>
      </w:r>
      <w:r>
        <w:rPr>
          <w:rStyle w:val="31"/>
          <w:rFonts w:hint="eastAsia" w:ascii="仿宋" w:hAnsi="仿宋" w:eastAsia="仿宋" w:cs="仿宋"/>
          <w:b w:val="0"/>
          <w:bCs w:val="0"/>
          <w:color w:val="auto"/>
          <w:highlight w:val="none"/>
          <w:lang w:val="en" w:eastAsia="zh-CN"/>
        </w:rPr>
        <w:t>0</w:t>
      </w:r>
      <w:r>
        <w:rPr>
          <w:rStyle w:val="31"/>
          <w:rFonts w:hint="eastAsia" w:ascii="仿宋" w:hAnsi="仿宋" w:eastAsia="仿宋" w:cs="仿宋"/>
          <w:b w:val="0"/>
          <w:bCs w:val="0"/>
          <w:color w:val="auto"/>
          <w:highlight w:val="none"/>
          <w:lang w:val="en-US" w:eastAsia="zh-CN"/>
        </w:rPr>
        <w:t>余次。针对大型活动会议、人员出差、重点时段等情况组织好核酸检测。按照“应种尽种”原则推进厅机关及直属单位疫苗接种，基本实现疫苗接种全覆盖。持续织牢织密机关疫情内控全覆盖细网，全厅干部职工无一人感染。</w:t>
      </w:r>
    </w:p>
    <w:p>
      <w:pPr>
        <w:rPr>
          <w:rFonts w:hint="eastAsia" w:ascii="黑体" w:hAnsi="黑体" w:eastAsia="黑体"/>
          <w:b w:val="0"/>
          <w:color w:val="auto"/>
          <w:highlight w:val="none"/>
          <w:lang w:val="en-US" w:eastAsia="zh-CN"/>
        </w:rPr>
      </w:pPr>
    </w:p>
    <w:p>
      <w:pPr>
        <w:pStyle w:val="6"/>
        <w:keepNext/>
        <w:keepLines/>
        <w:pageBreakBefore w:val="0"/>
        <w:widowControl w:val="0"/>
        <w:numPr>
          <w:ilvl w:val="0"/>
          <w:numId w:val="0"/>
        </w:numPr>
        <w:kinsoku/>
        <w:wordWrap/>
        <w:overflowPunct/>
        <w:topLinePunct w:val="0"/>
        <w:autoSpaceDE/>
        <w:autoSpaceDN/>
        <w:bidi w:val="0"/>
        <w:adjustRightInd/>
        <w:snapToGrid/>
        <w:spacing w:before="0" w:after="0" w:line="576" w:lineRule="exact"/>
        <w:ind w:firstLine="640" w:firstLineChars="200"/>
        <w:textAlignment w:val="auto"/>
        <w:rPr>
          <w:rStyle w:val="31"/>
          <w:rFonts w:hint="eastAsia" w:ascii="黑体" w:hAnsi="黑体" w:eastAsia="黑体"/>
          <w:b w:val="0"/>
          <w:bCs w:val="0"/>
          <w:color w:val="auto"/>
          <w:highlight w:val="none"/>
          <w:lang w:val="en-US" w:eastAsia="zh-CN"/>
        </w:rPr>
      </w:pPr>
      <w:r>
        <w:rPr>
          <w:rStyle w:val="31"/>
          <w:rFonts w:hint="eastAsia" w:ascii="黑体" w:hAnsi="黑体" w:eastAsia="黑体"/>
          <w:b w:val="0"/>
          <w:bCs w:val="0"/>
          <w:color w:val="auto"/>
          <w:highlight w:val="none"/>
          <w:lang w:val="en-US" w:eastAsia="zh-CN"/>
        </w:rPr>
        <w:t>三、机构设置情况</w:t>
      </w:r>
    </w:p>
    <w:p>
      <w:pPr>
        <w:ind w:firstLine="960" w:firstLineChars="300"/>
        <w:rPr>
          <w:rStyle w:val="31"/>
          <w:rFonts w:hint="eastAsia" w:ascii="仿宋" w:hAnsi="仿宋" w:eastAsia="仿宋" w:cs="仿宋"/>
          <w:b w:val="0"/>
          <w:bCs w:val="0"/>
          <w:color w:val="auto"/>
          <w:highlight w:val="none"/>
          <w:lang w:val="en-US" w:eastAsia="zh-CN" w:bidi="ar-SA"/>
        </w:rPr>
      </w:pPr>
      <w:r>
        <w:rPr>
          <w:rStyle w:val="31"/>
          <w:rFonts w:hint="eastAsia" w:ascii="仿宋" w:hAnsi="仿宋" w:eastAsia="仿宋" w:cs="仿宋"/>
          <w:b w:val="0"/>
          <w:bCs w:val="0"/>
          <w:color w:val="auto"/>
          <w:highlight w:val="none"/>
          <w:lang w:val="en-US" w:eastAsia="zh-CN" w:bidi="ar-SA"/>
        </w:rPr>
        <w:t>四川省应急管理保障中心根据工作需要，内部分成了4个工作组，分别是：综合组、财务组、服务保障组、运维保障组。</w:t>
      </w:r>
    </w:p>
    <w:p>
      <w:pPr>
        <w:rPr>
          <w:rStyle w:val="31"/>
          <w:rFonts w:hint="eastAsia" w:ascii="仿宋" w:hAnsi="仿宋" w:eastAsia="仿宋" w:cs="仿宋"/>
          <w:b w:val="0"/>
          <w:bCs w:val="0"/>
          <w:color w:val="auto"/>
          <w:highlight w:val="none"/>
          <w:lang w:val="en-US" w:eastAsia="zh-CN" w:bidi="ar-SA"/>
        </w:rPr>
      </w:pPr>
      <w:r>
        <w:rPr>
          <w:rStyle w:val="31"/>
          <w:rFonts w:hint="eastAsia" w:ascii="仿宋" w:hAnsi="仿宋" w:eastAsia="仿宋" w:cs="仿宋"/>
          <w:b w:val="0"/>
          <w:bCs w:val="0"/>
          <w:color w:val="auto"/>
          <w:highlight w:val="none"/>
          <w:lang w:val="en-US" w:eastAsia="zh-CN" w:bidi="ar-SA"/>
        </w:rPr>
        <w:t xml:space="preserve">     </w:t>
      </w:r>
      <w:bookmarkStart w:id="67" w:name="_GoBack"/>
      <w:bookmarkEnd w:id="67"/>
    </w:p>
    <w:p>
      <w:pPr>
        <w:pStyle w:val="2"/>
        <w:rPr>
          <w:rFonts w:hint="default"/>
          <w:lang w:val="en-US" w:eastAsia="zh-CN"/>
        </w:rPr>
      </w:pPr>
    </w:p>
    <w:p>
      <w:pPr>
        <w:rPr>
          <w:rFonts w:hint="eastAsia"/>
        </w:rPr>
      </w:pPr>
    </w:p>
    <w:p>
      <w:pPr>
        <w:pStyle w:val="5"/>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ascii="方正公文小标宋" w:hAnsi="方正公文小标宋" w:eastAsia="方正公文小标宋" w:cs="方正公文小标宋"/>
          <w:b w:val="0"/>
          <w:color w:val="auto"/>
          <w:highlight w:val="none"/>
        </w:rPr>
      </w:pPr>
      <w:bookmarkStart w:id="16" w:name="_Toc15377204"/>
      <w:bookmarkStart w:id="17" w:name="_Toc15396602"/>
      <w:r>
        <w:rPr>
          <w:rFonts w:hint="eastAsia" w:ascii="方正公文小标宋" w:hAnsi="方正公文小标宋" w:eastAsia="方正公文小标宋" w:cs="方正公文小标宋"/>
          <w:b w:val="0"/>
          <w:color w:val="auto"/>
          <w:highlight w:val="none"/>
        </w:rPr>
        <w:t xml:space="preserve">第二部分 </w:t>
      </w:r>
      <w:r>
        <w:rPr>
          <w:rFonts w:hint="eastAsia" w:ascii="方正公文小标宋" w:hAnsi="方正公文小标宋" w:eastAsia="方正公文小标宋" w:cs="方正公文小标宋"/>
          <w:b w:val="0"/>
          <w:color w:val="auto"/>
          <w:highlight w:val="none"/>
          <w:lang w:val="en-US" w:eastAsia="zh-CN"/>
        </w:rPr>
        <w:t>2021年度</w:t>
      </w:r>
      <w:r>
        <w:rPr>
          <w:rFonts w:hint="eastAsia" w:ascii="方正公文小标宋" w:hAnsi="方正公文小标宋" w:eastAsia="方正公文小标宋" w:cs="方正公文小标宋"/>
          <w:b w:val="0"/>
          <w:color w:val="auto"/>
          <w:highlight w:val="none"/>
          <w:lang w:eastAsia="zh-CN"/>
        </w:rPr>
        <w:t>单位</w:t>
      </w:r>
      <w:r>
        <w:rPr>
          <w:rFonts w:hint="eastAsia" w:ascii="方正公文小标宋" w:hAnsi="方正公文小标宋" w:eastAsia="方正公文小标宋" w:cs="方正公文小标宋"/>
          <w:b w:val="0"/>
          <w:color w:val="auto"/>
          <w:highlight w:val="none"/>
        </w:rPr>
        <w:t>决算情况说明</w:t>
      </w:r>
      <w:bookmarkEnd w:id="16"/>
      <w:bookmarkEnd w:id="17"/>
    </w:p>
    <w:p>
      <w:pPr>
        <w:pStyle w:val="29"/>
        <w:numPr>
          <w:ilvl w:val="0"/>
          <w:numId w:val="0"/>
        </w:numPr>
        <w:spacing w:line="600" w:lineRule="exact"/>
        <w:outlineLvl w:val="1"/>
        <w:rPr>
          <w:rFonts w:hint="eastAsia" w:ascii="黑体" w:hAnsi="黑体" w:eastAsia="黑体"/>
          <w:color w:val="auto"/>
          <w:sz w:val="32"/>
          <w:szCs w:val="32"/>
          <w:highlight w:val="none"/>
          <w:lang w:eastAsia="zh-CN"/>
        </w:rPr>
      </w:pPr>
      <w:bookmarkStart w:id="18" w:name="_Toc15396603"/>
      <w:bookmarkStart w:id="19" w:name="_Toc15377205"/>
    </w:p>
    <w:p>
      <w:pPr>
        <w:pStyle w:val="29"/>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1"/>
        <w:rPr>
          <w:rStyle w:val="31"/>
          <w:rFonts w:ascii="黑体" w:hAnsi="黑体" w:eastAsia="黑体"/>
          <w:b w:val="0"/>
          <w:color w:val="auto"/>
          <w:highlight w:val="none"/>
        </w:rPr>
      </w:pPr>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、支总计</w:t>
      </w:r>
      <w:r>
        <w:rPr>
          <w:rFonts w:hint="eastAsia" w:ascii="仿宋" w:hAnsi="仿宋" w:eastAsia="仿宋"/>
          <w:color w:val="auto"/>
          <w:sz w:val="32"/>
          <w:szCs w:val="32"/>
          <w:highlight w:val="none"/>
          <w:lang w:val="en-US" w:eastAsia="zh-CN"/>
        </w:rPr>
        <w:t>1370.99万元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503.32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58.01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是人员经费和项目经费增加。</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9"/>
        <w:jc w:val="center"/>
        <w:rPr>
          <w:rFonts w:hint="eastAsia" w:eastAsia="仿宋"/>
          <w:lang w:eastAsia="zh-CN"/>
        </w:rPr>
      </w:pPr>
      <w:r>
        <w:rPr>
          <w:rFonts w:hint="eastAsia" w:eastAsia="仿宋"/>
          <w:lang w:eastAsia="zh-CN"/>
        </w:rPr>
        <w:drawing>
          <wp:inline distT="0" distB="0" distL="114300" distR="114300">
            <wp:extent cx="5042535" cy="3295650"/>
            <wp:effectExtent l="4445" t="4445" r="20320"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1"/>
        <w:rPr>
          <w:rStyle w:val="31"/>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入决算情况说明</w:t>
      </w:r>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1370.99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1370.99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9"/>
        <w:jc w:val="center"/>
        <w:rPr>
          <w:rFonts w:hint="eastAsia" w:eastAsia="仿宋"/>
          <w:lang w:eastAsia="zh-CN"/>
        </w:rPr>
      </w:pPr>
      <w:r>
        <w:rPr>
          <w:rFonts w:hint="eastAsia" w:eastAsia="仿宋"/>
          <w:lang w:eastAsia="zh-CN"/>
        </w:rPr>
        <w:drawing>
          <wp:inline distT="0" distB="0" distL="114300" distR="114300">
            <wp:extent cx="4938395" cy="2391410"/>
            <wp:effectExtent l="4445" t="4445" r="10160" b="61595"/>
            <wp:docPr id="7" name="图表 7" descr="7b0a202020202263686172745265734964223a202232303436393832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9"/>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outlineLvl w:val="1"/>
        <w:rPr>
          <w:rFonts w:hint="eastAsia" w:ascii="黑体" w:hAnsi="黑体" w:eastAsia="黑体"/>
          <w:color w:val="auto"/>
          <w:sz w:val="32"/>
          <w:szCs w:val="32"/>
          <w:highlight w:val="none"/>
          <w:lang w:eastAsia="zh-CN"/>
        </w:rPr>
      </w:pPr>
      <w:bookmarkStart w:id="22" w:name="_Toc15396605"/>
      <w:bookmarkStart w:id="23" w:name="_Toc15377207"/>
      <w:r>
        <w:rPr>
          <w:rFonts w:hint="eastAsia" w:ascii="黑体" w:hAnsi="黑体" w:eastAsia="黑体"/>
          <w:color w:val="auto"/>
          <w:sz w:val="32"/>
          <w:szCs w:val="32"/>
          <w:highlight w:val="none"/>
          <w:lang w:eastAsia="zh-CN"/>
        </w:rPr>
        <w:t>三、支出决算情况说明</w:t>
      </w:r>
      <w:bookmarkEnd w:id="22"/>
      <w:bookmarkEnd w:id="2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1370.94</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936.92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68.34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434.02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31.66</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图3：支出决算结构图</w:t>
      </w:r>
    </w:p>
    <w:p>
      <w:pPr>
        <w:pStyle w:val="9"/>
        <w:jc w:val="center"/>
        <w:rPr>
          <w:rFonts w:hint="eastAsia"/>
        </w:rPr>
      </w:pPr>
      <w:r>
        <w:rPr>
          <w:rFonts w:hint="eastAsia"/>
          <w:lang w:eastAsia="zh-CN"/>
        </w:rPr>
        <w:drawing>
          <wp:inline distT="0" distB="0" distL="114300" distR="114300">
            <wp:extent cx="4938395" cy="2391410"/>
            <wp:effectExtent l="4445" t="4445" r="10160" b="61595"/>
            <wp:docPr id="9" name="图表 9" descr="7b0a202020202263686172745265734964223a202232303436393832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1"/>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31"/>
          <w:rFonts w:hint="eastAsia" w:ascii="黑体" w:hAnsi="黑体" w:eastAsia="黑体"/>
          <w:b w:val="0"/>
          <w:color w:val="auto"/>
          <w:highlight w:val="none"/>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1370.99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503.32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58.01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是人员经费和项目经费增加。</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w:t>
      </w:r>
    </w:p>
    <w:p>
      <w:pPr>
        <w:pStyle w:val="9"/>
        <w:jc w:val="center"/>
        <w:rPr>
          <w:rFonts w:hint="eastAsia" w:eastAsia="仿宋"/>
          <w:lang w:eastAsia="zh-CN"/>
        </w:rPr>
      </w:pPr>
      <w:r>
        <w:rPr>
          <w:rFonts w:hint="eastAsia" w:eastAsia="仿宋"/>
          <w:lang w:eastAsia="zh-CN"/>
        </w:rPr>
        <w:drawing>
          <wp:inline distT="0" distB="0" distL="114300" distR="114300">
            <wp:extent cx="5042535" cy="3295650"/>
            <wp:effectExtent l="4445" t="4445" r="20320"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1"/>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Style w:val="31"/>
          <w:rFonts w:hint="eastAsia" w:ascii="仿宋" w:hAnsi="仿宋" w:eastAsia="仿宋" w:cs="仿宋"/>
          <w:color w:val="auto"/>
          <w:highlight w:val="none"/>
          <w:lang w:val="en-US" w:eastAsia="zh-CN" w:bidi="ar-SA"/>
        </w:rPr>
      </w:pPr>
      <w:bookmarkStart w:id="28" w:name="_Toc15377210"/>
      <w:r>
        <w:rPr>
          <w:rStyle w:val="31"/>
          <w:rFonts w:hint="eastAsia" w:ascii="仿宋" w:hAnsi="仿宋" w:eastAsia="仿宋" w:cs="仿宋"/>
          <w:color w:val="auto"/>
          <w:highlight w:val="none"/>
          <w:lang w:val="en-US" w:eastAsia="zh-CN" w:bidi="ar-SA"/>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1370.94</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503.32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58.01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人员经费和项目经费增加。</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pStyle w:val="9"/>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42535" cy="3295650"/>
            <wp:effectExtent l="4445" t="4445" r="20320" b="14605"/>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3" w:firstLineChars="200"/>
        <w:outlineLvl w:val="2"/>
        <w:rPr>
          <w:rStyle w:val="31"/>
          <w:rFonts w:hint="eastAsia" w:ascii="仿宋" w:hAnsi="仿宋" w:eastAsia="仿宋" w:cs="仿宋"/>
          <w:color w:val="auto"/>
          <w:highlight w:val="none"/>
          <w:lang w:val="en-US" w:eastAsia="zh-CN" w:bidi="ar-SA"/>
        </w:rPr>
      </w:pPr>
      <w:bookmarkStart w:id="29" w:name="_Toc15377211"/>
      <w:r>
        <w:rPr>
          <w:rStyle w:val="31"/>
          <w:rFonts w:hint="eastAsia" w:ascii="仿宋" w:hAnsi="仿宋" w:eastAsia="仿宋" w:cs="仿宋"/>
          <w:color w:val="auto"/>
          <w:highlight w:val="none"/>
          <w:lang w:val="en-US" w:eastAsia="zh-CN" w:bidi="ar-SA"/>
        </w:rPr>
        <w:t>（二）一般公共预算财政拨款支出决算结构情况</w:t>
      </w:r>
      <w:bookmarkEnd w:id="2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1370.94</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s="Times New Roman"/>
          <w:color w:val="auto"/>
          <w:sz w:val="32"/>
          <w:szCs w:val="32"/>
          <w:highlight w:val="none"/>
          <w:lang w:val="en-US" w:eastAsia="zh-CN"/>
        </w:rPr>
        <w:t>4.88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66.44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卫生健康支出（类）</w:t>
      </w:r>
      <w:r>
        <w:rPr>
          <w:rFonts w:hint="eastAsia" w:ascii="仿宋" w:hAnsi="仿宋" w:eastAsia="仿宋" w:cs="Times New Roman"/>
          <w:color w:val="auto"/>
          <w:sz w:val="32"/>
          <w:szCs w:val="32"/>
          <w:highlight w:val="none"/>
          <w:lang w:val="en-US" w:eastAsia="zh-CN"/>
        </w:rPr>
        <w:t>64.34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4.69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住房保障支出（类）</w:t>
      </w:r>
      <w:r>
        <w:rPr>
          <w:rFonts w:hint="eastAsia" w:ascii="仿宋" w:hAnsi="仿宋" w:eastAsia="仿宋"/>
          <w:color w:val="auto"/>
          <w:sz w:val="32"/>
          <w:szCs w:val="32"/>
          <w:highlight w:val="none"/>
          <w:lang w:val="en-US" w:eastAsia="zh-CN"/>
        </w:rPr>
        <w:t>69.17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eastAsia="zh-CN"/>
        </w:rPr>
        <w:t>灾害防治及应急管理支出（类）</w:t>
      </w:r>
      <w:r>
        <w:rPr>
          <w:rFonts w:hint="eastAsia" w:ascii="仿宋" w:hAnsi="仿宋" w:eastAsia="仿宋" w:cs="Times New Roman"/>
          <w:color w:val="auto"/>
          <w:sz w:val="32"/>
          <w:szCs w:val="32"/>
          <w:highlight w:val="none"/>
          <w:lang w:val="en-US" w:eastAsia="zh-CN"/>
        </w:rPr>
        <w:t>1166.11万元</w:t>
      </w:r>
      <w:r>
        <w:rPr>
          <w:rFonts w:hint="eastAsia" w:ascii="仿宋" w:hAnsi="仿宋" w:eastAsia="仿宋"/>
          <w:b/>
          <w:bCs/>
          <w:color w:val="auto"/>
          <w:sz w:val="32"/>
          <w:szCs w:val="32"/>
          <w:highlight w:val="none"/>
          <w:lang w:val="en-US" w:eastAsia="zh-CN"/>
        </w:rPr>
        <w:t>，</w:t>
      </w:r>
      <w:r>
        <w:rPr>
          <w:rFonts w:hint="eastAsia" w:ascii="仿宋" w:hAnsi="仿宋" w:eastAsia="仿宋" w:cs="Times New Roman"/>
          <w:color w:val="auto"/>
          <w:sz w:val="32"/>
          <w:szCs w:val="32"/>
          <w:highlight w:val="none"/>
          <w:lang w:val="en-US" w:eastAsia="zh-CN"/>
        </w:rPr>
        <w:t>占85.06%</w:t>
      </w:r>
      <w:r>
        <w:rPr>
          <w:rFonts w:hint="eastAsia" w:ascii="仿宋" w:hAnsi="仿宋" w:eastAsia="仿宋"/>
          <w:b/>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pStyle w:val="9"/>
        <w:jc w:val="center"/>
        <w:rPr>
          <w:rFonts w:hint="eastAsia" w:eastAsia="仿宋_GB2312"/>
          <w:lang w:eastAsia="zh-CN"/>
        </w:rPr>
      </w:pPr>
      <w:r>
        <w:rPr>
          <w:rFonts w:hint="eastAsia" w:eastAsia="仿宋_GB2312"/>
          <w:lang w:eastAsia="zh-CN"/>
        </w:rPr>
        <w:drawing>
          <wp:inline distT="0" distB="0" distL="114300" distR="114300">
            <wp:extent cx="4986020" cy="2325370"/>
            <wp:effectExtent l="5080" t="4445" r="19050" b="13335"/>
            <wp:docPr id="22" name="图表 22" descr="7b0a202020202263686172745265734964223a202232303436393832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Style w:val="31"/>
          <w:rFonts w:hint="eastAsia" w:ascii="仿宋" w:hAnsi="仿宋" w:eastAsia="仿宋" w:cs="仿宋"/>
          <w:color w:val="auto"/>
          <w:highlight w:val="none"/>
          <w:lang w:val="en-US" w:eastAsia="zh-CN" w:bidi="ar-SA"/>
        </w:rPr>
      </w:pPr>
      <w:bookmarkStart w:id="30" w:name="_Toc15377212"/>
      <w:r>
        <w:rPr>
          <w:rStyle w:val="31"/>
          <w:rFonts w:hint="eastAsia" w:ascii="仿宋" w:hAnsi="仿宋" w:eastAsia="仿宋" w:cs="仿宋"/>
          <w:color w:val="auto"/>
          <w:highlight w:val="none"/>
          <w:lang w:val="en-US" w:eastAsia="zh-CN" w:bidi="ar-SA"/>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1370.94</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 w:hAnsi="仿宋" w:eastAsia="仿宋"/>
          <w:b/>
          <w:color w:val="auto"/>
          <w:sz w:val="32"/>
          <w:szCs w:val="32"/>
          <w:highlight w:val="none"/>
        </w:rPr>
      </w:pPr>
      <w:r>
        <w:rPr>
          <w:rStyle w:val="19"/>
          <w:rFonts w:hint="eastAsia" w:ascii="仿宋" w:hAnsi="仿宋" w:eastAsia="仿宋"/>
          <w:bCs/>
          <w:color w:val="auto"/>
          <w:sz w:val="32"/>
          <w:szCs w:val="32"/>
          <w:highlight w:val="none"/>
          <w:lang w:val="en-US" w:eastAsia="zh-CN"/>
        </w:rPr>
        <w:t>1</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教育（类）</w:t>
      </w:r>
      <w:r>
        <w:rPr>
          <w:rStyle w:val="19"/>
          <w:rFonts w:hint="eastAsia" w:ascii="仿宋" w:hAnsi="仿宋" w:eastAsia="仿宋"/>
          <w:bCs/>
          <w:color w:val="auto"/>
          <w:sz w:val="32"/>
          <w:szCs w:val="32"/>
          <w:highlight w:val="none"/>
          <w:lang w:eastAsia="zh-CN"/>
        </w:rPr>
        <w:t>进修及培训</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培训支出</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4.88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97.6</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，决算数小</w:t>
      </w:r>
      <w:r>
        <w:rPr>
          <w:rStyle w:val="19"/>
          <w:rFonts w:hint="eastAsia" w:ascii="仿宋" w:hAnsi="仿宋" w:eastAsia="仿宋"/>
          <w:b w:val="0"/>
          <w:bCs/>
          <w:color w:val="auto"/>
          <w:sz w:val="32"/>
          <w:szCs w:val="32"/>
          <w:highlight w:val="none"/>
          <w:lang w:eastAsia="zh-CN"/>
        </w:rPr>
        <w:t>于</w:t>
      </w:r>
      <w:r>
        <w:rPr>
          <w:rStyle w:val="19"/>
          <w:rFonts w:hint="eastAsia" w:ascii="仿宋" w:hAnsi="仿宋" w:eastAsia="仿宋"/>
          <w:b w:val="0"/>
          <w:bCs/>
          <w:color w:val="auto"/>
          <w:sz w:val="32"/>
          <w:szCs w:val="32"/>
          <w:highlight w:val="none"/>
        </w:rPr>
        <w:t>预算数的主要原因</w:t>
      </w:r>
      <w:r>
        <w:rPr>
          <w:rStyle w:val="19"/>
          <w:rFonts w:hint="eastAsia" w:ascii="仿宋" w:hAnsi="仿宋" w:eastAsia="仿宋"/>
          <w:b w:val="0"/>
          <w:bCs/>
          <w:color w:val="auto"/>
          <w:sz w:val="32"/>
          <w:szCs w:val="32"/>
          <w:highlight w:val="none"/>
          <w:lang w:eastAsia="zh-CN"/>
        </w:rPr>
        <w:t>疫情期间培训减少</w:t>
      </w:r>
      <w:r>
        <w:rPr>
          <w:rStyle w:val="19"/>
          <w:rFonts w:hint="eastAsia" w:ascii="仿宋" w:hAnsi="仿宋" w:eastAsia="仿宋"/>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19"/>
          <w:rFonts w:hint="eastAsia" w:ascii="仿宋" w:hAnsi="仿宋" w:eastAsia="仿宋"/>
          <w:b w:val="0"/>
          <w:bCs/>
          <w:color w:val="auto"/>
          <w:sz w:val="32"/>
          <w:szCs w:val="32"/>
          <w:highlight w:val="none"/>
        </w:rPr>
      </w:pPr>
      <w:r>
        <w:rPr>
          <w:rStyle w:val="19"/>
          <w:rFonts w:hint="eastAsia" w:ascii="仿宋" w:hAnsi="仿宋" w:eastAsia="仿宋"/>
          <w:bCs/>
          <w:color w:val="auto"/>
          <w:sz w:val="32"/>
          <w:szCs w:val="32"/>
          <w:highlight w:val="none"/>
          <w:lang w:val="en-US" w:eastAsia="zh-CN"/>
        </w:rPr>
        <w:t>2</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社会保障和就业（类）</w:t>
      </w:r>
      <w:r>
        <w:rPr>
          <w:rStyle w:val="19"/>
          <w:rFonts w:hint="eastAsia" w:ascii="仿宋" w:hAnsi="仿宋" w:eastAsia="仿宋"/>
          <w:bCs/>
          <w:color w:val="auto"/>
          <w:sz w:val="32"/>
          <w:szCs w:val="32"/>
          <w:highlight w:val="none"/>
          <w:lang w:eastAsia="zh-CN"/>
        </w:rPr>
        <w:t>行政事业单位养老支出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行政单位离退休</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ascii="仿宋" w:hAnsi="仿宋" w:eastAsia="仿宋"/>
          <w:b w:val="0"/>
          <w:bCs/>
          <w:color w:val="auto"/>
          <w:sz w:val="32"/>
          <w:szCs w:val="32"/>
          <w:highlight w:val="none"/>
        </w:rPr>
        <w:t xml:space="preserve"> </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1.13</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，决算数等于预算数。</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sz w:val="32"/>
          <w:szCs w:val="28"/>
        </w:rPr>
      </w:pPr>
      <w:r>
        <w:rPr>
          <w:rFonts w:hint="eastAsia" w:ascii="仿宋" w:hAnsi="仿宋" w:eastAsia="仿宋" w:cs="仿宋"/>
          <w:b/>
          <w:bCs/>
          <w:sz w:val="32"/>
          <w:szCs w:val="28"/>
          <w:lang w:val="en-US" w:eastAsia="zh-CN"/>
        </w:rPr>
        <w:t>3</w:t>
      </w:r>
      <w:r>
        <w:rPr>
          <w:rFonts w:hint="eastAsia" w:ascii="仿宋" w:hAnsi="仿宋" w:eastAsia="仿宋" w:cs="仿宋"/>
          <w:b/>
          <w:bCs/>
          <w:sz w:val="32"/>
          <w:szCs w:val="28"/>
        </w:rPr>
        <w:t>.社会保障和就业（类）</w:t>
      </w:r>
      <w:r>
        <w:rPr>
          <w:rFonts w:hint="eastAsia" w:ascii="仿宋" w:hAnsi="仿宋" w:eastAsia="仿宋" w:cs="仿宋"/>
          <w:b/>
          <w:bCs/>
          <w:sz w:val="32"/>
          <w:szCs w:val="28"/>
          <w:lang w:eastAsia="zh-CN"/>
        </w:rPr>
        <w:t>行政事业单位养老支出</w:t>
      </w:r>
      <w:r>
        <w:rPr>
          <w:rFonts w:hint="eastAsia" w:ascii="仿宋" w:hAnsi="仿宋" w:eastAsia="仿宋" w:cs="仿宋"/>
          <w:b/>
          <w:bCs/>
          <w:sz w:val="32"/>
          <w:szCs w:val="28"/>
        </w:rPr>
        <w:t>（款）</w:t>
      </w:r>
      <w:r>
        <w:rPr>
          <w:rFonts w:hint="eastAsia" w:ascii="仿宋" w:hAnsi="仿宋" w:eastAsia="仿宋" w:cs="仿宋"/>
          <w:b/>
          <w:bCs/>
          <w:sz w:val="32"/>
          <w:szCs w:val="28"/>
          <w:lang w:eastAsia="zh-CN"/>
        </w:rPr>
        <w:t>机关事业单位基本养老保险缴费支出</w:t>
      </w:r>
      <w:r>
        <w:rPr>
          <w:rFonts w:hint="eastAsia" w:ascii="仿宋" w:hAnsi="仿宋" w:eastAsia="仿宋" w:cs="仿宋"/>
          <w:b/>
          <w:bCs/>
          <w:sz w:val="32"/>
          <w:szCs w:val="28"/>
        </w:rPr>
        <w:t xml:space="preserve">（项）: </w:t>
      </w:r>
      <w:r>
        <w:rPr>
          <w:rFonts w:hint="eastAsia" w:ascii="仿宋" w:hAnsi="仿宋" w:eastAsia="仿宋" w:cs="仿宋"/>
          <w:sz w:val="32"/>
          <w:szCs w:val="28"/>
        </w:rPr>
        <w:t>支出决算为</w:t>
      </w:r>
      <w:r>
        <w:rPr>
          <w:rFonts w:hint="eastAsia" w:ascii="仿宋" w:hAnsi="仿宋" w:eastAsia="仿宋" w:cs="仿宋"/>
          <w:sz w:val="32"/>
          <w:szCs w:val="28"/>
          <w:lang w:val="en-US" w:eastAsia="zh-CN"/>
        </w:rPr>
        <w:t>59.63</w:t>
      </w:r>
      <w:r>
        <w:rPr>
          <w:rFonts w:hint="eastAsia" w:ascii="仿宋" w:hAnsi="仿宋" w:eastAsia="仿宋" w:cs="仿宋"/>
          <w:sz w:val="32"/>
          <w:szCs w:val="28"/>
        </w:rPr>
        <w:t>万元，完成预算</w:t>
      </w:r>
      <w:r>
        <w:rPr>
          <w:rFonts w:hint="eastAsia" w:ascii="仿宋" w:hAnsi="仿宋" w:eastAsia="仿宋" w:cs="仿宋"/>
          <w:sz w:val="32"/>
          <w:szCs w:val="28"/>
          <w:lang w:val="en-US" w:eastAsia="zh-CN"/>
        </w:rPr>
        <w:t>100</w:t>
      </w:r>
      <w:r>
        <w:rPr>
          <w:rFonts w:hint="eastAsia" w:ascii="仿宋" w:hAnsi="仿宋" w:eastAsia="仿宋" w:cs="仿宋"/>
          <w:sz w:val="32"/>
          <w:szCs w:val="28"/>
        </w:rPr>
        <w:t>%，决算数等于预算数。</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sz w:val="32"/>
          <w:szCs w:val="28"/>
        </w:rPr>
      </w:pPr>
      <w:r>
        <w:rPr>
          <w:rFonts w:hint="eastAsia" w:ascii="仿宋" w:hAnsi="仿宋" w:eastAsia="仿宋" w:cs="仿宋"/>
          <w:b/>
          <w:bCs/>
          <w:sz w:val="32"/>
          <w:szCs w:val="28"/>
          <w:lang w:val="en-US" w:eastAsia="zh-CN"/>
        </w:rPr>
        <w:t>4</w:t>
      </w:r>
      <w:r>
        <w:rPr>
          <w:rFonts w:hint="eastAsia" w:ascii="仿宋" w:hAnsi="仿宋" w:eastAsia="仿宋" w:cs="仿宋"/>
          <w:b/>
          <w:bCs/>
          <w:sz w:val="32"/>
          <w:szCs w:val="28"/>
        </w:rPr>
        <w:t>.社会保障和就业（类）</w:t>
      </w:r>
      <w:r>
        <w:rPr>
          <w:rFonts w:hint="eastAsia" w:ascii="仿宋" w:hAnsi="仿宋" w:eastAsia="仿宋" w:cs="仿宋"/>
          <w:b/>
          <w:bCs/>
          <w:sz w:val="32"/>
          <w:szCs w:val="28"/>
          <w:lang w:eastAsia="zh-CN"/>
        </w:rPr>
        <w:t>行政事业单位养老支出</w:t>
      </w:r>
      <w:r>
        <w:rPr>
          <w:rFonts w:hint="eastAsia" w:ascii="仿宋" w:hAnsi="仿宋" w:eastAsia="仿宋" w:cs="仿宋"/>
          <w:b/>
          <w:bCs/>
          <w:sz w:val="32"/>
          <w:szCs w:val="28"/>
        </w:rPr>
        <w:t>（款）</w:t>
      </w:r>
      <w:r>
        <w:rPr>
          <w:rFonts w:hint="eastAsia" w:ascii="仿宋" w:hAnsi="仿宋" w:eastAsia="仿宋" w:cs="仿宋"/>
          <w:b/>
          <w:bCs/>
          <w:sz w:val="32"/>
          <w:szCs w:val="28"/>
          <w:lang w:eastAsia="zh-CN"/>
        </w:rPr>
        <w:t>机关事业单位职业年金支出</w:t>
      </w:r>
      <w:r>
        <w:rPr>
          <w:rFonts w:hint="eastAsia" w:ascii="仿宋" w:hAnsi="仿宋" w:eastAsia="仿宋" w:cs="仿宋"/>
          <w:b/>
          <w:bCs/>
          <w:sz w:val="32"/>
          <w:szCs w:val="28"/>
        </w:rPr>
        <w:t xml:space="preserve">（项）: </w:t>
      </w:r>
      <w:r>
        <w:rPr>
          <w:rFonts w:hint="eastAsia" w:ascii="仿宋" w:hAnsi="仿宋" w:eastAsia="仿宋" w:cs="仿宋"/>
          <w:sz w:val="32"/>
          <w:szCs w:val="28"/>
        </w:rPr>
        <w:t>支出决算为</w:t>
      </w:r>
      <w:r>
        <w:rPr>
          <w:rFonts w:hint="eastAsia" w:ascii="仿宋" w:hAnsi="仿宋" w:eastAsia="仿宋" w:cs="仿宋"/>
          <w:sz w:val="32"/>
          <w:szCs w:val="28"/>
          <w:lang w:val="en-US" w:eastAsia="zh-CN"/>
        </w:rPr>
        <w:t>5.68</w:t>
      </w:r>
      <w:r>
        <w:rPr>
          <w:rFonts w:hint="eastAsia" w:ascii="仿宋" w:hAnsi="仿宋" w:eastAsia="仿宋" w:cs="仿宋"/>
          <w:sz w:val="32"/>
          <w:szCs w:val="28"/>
        </w:rPr>
        <w:t>万元，完成预算</w:t>
      </w:r>
      <w:r>
        <w:rPr>
          <w:rFonts w:hint="eastAsia" w:ascii="仿宋" w:hAnsi="仿宋" w:eastAsia="仿宋" w:cs="仿宋"/>
          <w:sz w:val="32"/>
          <w:szCs w:val="28"/>
          <w:lang w:val="en-US" w:eastAsia="zh-CN"/>
        </w:rPr>
        <w:t>100</w:t>
      </w:r>
      <w:r>
        <w:rPr>
          <w:rFonts w:hint="eastAsia" w:ascii="仿宋" w:hAnsi="仿宋" w:eastAsia="仿宋" w:cs="仿宋"/>
          <w:sz w:val="32"/>
          <w:szCs w:val="28"/>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Style w:val="19"/>
          <w:rFonts w:hint="eastAsia" w:ascii="仿宋" w:hAnsi="仿宋" w:eastAsia="仿宋"/>
          <w:b w:val="0"/>
          <w:bCs/>
          <w:color w:val="000000" w:themeColor="text1"/>
          <w:sz w:val="32"/>
          <w:szCs w:val="32"/>
          <w:highlight w:val="none"/>
          <w14:textFill>
            <w14:solidFill>
              <w14:schemeClr w14:val="tx1"/>
            </w14:solidFill>
          </w14:textFill>
        </w:rPr>
      </w:pPr>
      <w:r>
        <w:rPr>
          <w:rStyle w:val="19"/>
          <w:rFonts w:hint="eastAsia" w:ascii="仿宋" w:hAnsi="仿宋" w:eastAsia="仿宋"/>
          <w:bCs/>
          <w:color w:val="000000" w:themeColor="text1"/>
          <w:sz w:val="32"/>
          <w:szCs w:val="32"/>
          <w:highlight w:val="none"/>
          <w:lang w:val="en-US" w:eastAsia="zh-CN"/>
          <w14:textFill>
            <w14:solidFill>
              <w14:schemeClr w14:val="tx1"/>
            </w14:solidFill>
          </w14:textFill>
        </w:rPr>
        <w:t>5</w:t>
      </w:r>
      <w:r>
        <w:rPr>
          <w:rStyle w:val="19"/>
          <w:rFonts w:ascii="仿宋" w:hAnsi="仿宋" w:eastAsia="仿宋"/>
          <w:bCs/>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卫生健康</w:t>
      </w:r>
      <w:r>
        <w:rPr>
          <w:rStyle w:val="19"/>
          <w:rFonts w:hint="eastAsia" w:ascii="仿宋" w:hAnsi="仿宋" w:eastAsia="仿宋"/>
          <w:bCs/>
          <w:color w:val="000000" w:themeColor="text1"/>
          <w:sz w:val="32"/>
          <w:szCs w:val="32"/>
          <w:highlight w:val="none"/>
          <w14:textFill>
            <w14:solidFill>
              <w14:schemeClr w14:val="tx1"/>
            </w14:solidFill>
          </w14:textFill>
        </w:rPr>
        <w:t>（类）</w:t>
      </w:r>
      <w:r>
        <w:rPr>
          <w:rStyle w:val="19"/>
          <w:rFonts w:hint="eastAsia" w:ascii="仿宋" w:hAnsi="仿宋" w:eastAsia="仿宋"/>
          <w:bCs/>
          <w:color w:val="000000" w:themeColor="text1"/>
          <w:sz w:val="32"/>
          <w:szCs w:val="32"/>
          <w:highlight w:val="none"/>
          <w:lang w:eastAsia="zh-CN"/>
          <w14:textFill>
            <w14:solidFill>
              <w14:schemeClr w14:val="tx1"/>
            </w14:solidFill>
          </w14:textFill>
        </w:rPr>
        <w:t>行政单位事业医疗</w:t>
      </w:r>
      <w:r>
        <w:rPr>
          <w:rStyle w:val="19"/>
          <w:rFonts w:hint="eastAsia" w:ascii="仿宋" w:hAnsi="仿宋" w:eastAsia="仿宋"/>
          <w:bCs/>
          <w:color w:val="000000" w:themeColor="text1"/>
          <w:sz w:val="32"/>
          <w:szCs w:val="32"/>
          <w:highlight w:val="none"/>
          <w14:textFill>
            <w14:solidFill>
              <w14:schemeClr w14:val="tx1"/>
            </w14:solidFill>
          </w14:textFill>
        </w:rPr>
        <w:t>（款）</w:t>
      </w:r>
      <w:r>
        <w:rPr>
          <w:rStyle w:val="19"/>
          <w:rFonts w:hint="eastAsia" w:ascii="仿宋" w:hAnsi="仿宋" w:eastAsia="仿宋"/>
          <w:bCs/>
          <w:color w:val="000000" w:themeColor="text1"/>
          <w:sz w:val="32"/>
          <w:szCs w:val="32"/>
          <w:highlight w:val="none"/>
          <w:lang w:eastAsia="zh-CN"/>
          <w14:textFill>
            <w14:solidFill>
              <w14:schemeClr w14:val="tx1"/>
            </w14:solidFill>
          </w14:textFill>
        </w:rPr>
        <w:t>行政单位医疗</w:t>
      </w:r>
      <w:r>
        <w:rPr>
          <w:rStyle w:val="19"/>
          <w:rFonts w:hint="eastAsia" w:ascii="仿宋" w:hAnsi="仿宋" w:eastAsia="仿宋"/>
          <w:bCs/>
          <w:color w:val="000000" w:themeColor="text1"/>
          <w:sz w:val="32"/>
          <w:szCs w:val="32"/>
          <w:highlight w:val="none"/>
          <w14:textFill>
            <w14:solidFill>
              <w14:schemeClr w14:val="tx1"/>
            </w14:solidFill>
          </w14:textFill>
        </w:rPr>
        <w:t>（项）</w:t>
      </w:r>
      <w:r>
        <w:rPr>
          <w:rStyle w:val="19"/>
          <w:rFonts w:ascii="仿宋" w:hAnsi="仿宋" w:eastAsia="仿宋"/>
          <w:bCs/>
          <w:color w:val="000000" w:themeColor="text1"/>
          <w:sz w:val="32"/>
          <w:szCs w:val="32"/>
          <w:highlight w:val="none"/>
          <w14:textFill>
            <w14:solidFill>
              <w14:schemeClr w14:val="tx1"/>
            </w14:solidFill>
          </w14:textFill>
        </w:rPr>
        <w:t>:</w:t>
      </w:r>
      <w:r>
        <w:rPr>
          <w:rStyle w:val="19"/>
          <w:rFonts w:hint="eastAsia" w:ascii="仿宋" w:hAnsi="仿宋" w:eastAsia="仿宋"/>
          <w:b w:val="0"/>
          <w:bCs/>
          <w:color w:val="000000" w:themeColor="text1"/>
          <w:sz w:val="32"/>
          <w:szCs w:val="32"/>
          <w:highlight w:val="none"/>
          <w14:textFill>
            <w14:solidFill>
              <w14:schemeClr w14:val="tx1"/>
            </w14:solidFill>
          </w14:textFill>
        </w:rPr>
        <w:t>支出决算为</w:t>
      </w:r>
      <w:r>
        <w:rPr>
          <w:rStyle w:val="19"/>
          <w:rFonts w:hint="eastAsia" w:ascii="仿宋" w:hAnsi="仿宋" w:eastAsia="仿宋"/>
          <w:b w:val="0"/>
          <w:bCs/>
          <w:color w:val="000000" w:themeColor="text1"/>
          <w:sz w:val="32"/>
          <w:szCs w:val="32"/>
          <w:highlight w:val="none"/>
          <w:lang w:val="en-US" w:eastAsia="zh-CN"/>
          <w14:textFill>
            <w14:solidFill>
              <w14:schemeClr w14:val="tx1"/>
            </w14:solidFill>
          </w14:textFill>
        </w:rPr>
        <w:t>50.72</w:t>
      </w:r>
      <w:r>
        <w:rPr>
          <w:rStyle w:val="19"/>
          <w:rFonts w:hint="eastAsia" w:ascii="仿宋" w:hAnsi="仿宋" w:eastAsia="仿宋"/>
          <w:b w:val="0"/>
          <w:bCs/>
          <w:color w:val="000000" w:themeColor="text1"/>
          <w:sz w:val="32"/>
          <w:szCs w:val="32"/>
          <w:highlight w:val="none"/>
          <w14:textFill>
            <w14:solidFill>
              <w14:schemeClr w14:val="tx1"/>
            </w14:solidFill>
          </w14:textFill>
        </w:rPr>
        <w:t>万元，完成预算</w:t>
      </w:r>
      <w:r>
        <w:rPr>
          <w:rStyle w:val="19"/>
          <w:rFonts w:hint="eastAsia" w:ascii="仿宋" w:hAnsi="仿宋" w:eastAsia="仿宋"/>
          <w:b w:val="0"/>
          <w:bCs/>
          <w:color w:val="000000" w:themeColor="text1"/>
          <w:sz w:val="32"/>
          <w:szCs w:val="32"/>
          <w:highlight w:val="none"/>
          <w:lang w:val="en-US" w:eastAsia="zh-CN"/>
          <w14:textFill>
            <w14:solidFill>
              <w14:schemeClr w14:val="tx1"/>
            </w14:solidFill>
          </w14:textFill>
        </w:rPr>
        <w:t>92.20</w:t>
      </w:r>
      <w:r>
        <w:rPr>
          <w:rStyle w:val="19"/>
          <w:rFonts w:ascii="仿宋" w:hAnsi="仿宋" w:eastAsia="仿宋"/>
          <w:b w:val="0"/>
          <w:bCs/>
          <w:color w:val="000000" w:themeColor="text1"/>
          <w:sz w:val="32"/>
          <w:szCs w:val="32"/>
          <w:highlight w:val="none"/>
          <w14:textFill>
            <w14:solidFill>
              <w14:schemeClr w14:val="tx1"/>
            </w14:solidFill>
          </w14:textFill>
        </w:rPr>
        <w:t>%</w:t>
      </w:r>
      <w:r>
        <w:rPr>
          <w:rStyle w:val="19"/>
          <w:rFonts w:hint="eastAsia" w:ascii="仿宋" w:hAnsi="仿宋" w:eastAsia="仿宋"/>
          <w:b w:val="0"/>
          <w:bCs/>
          <w:color w:val="000000" w:themeColor="text1"/>
          <w:sz w:val="32"/>
          <w:szCs w:val="32"/>
          <w:highlight w:val="none"/>
          <w14:textFill>
            <w14:solidFill>
              <w14:schemeClr w14:val="tx1"/>
            </w14:solidFill>
          </w14:textFill>
        </w:rPr>
        <w:t>，决算数小于预算数的主要原因是</w:t>
      </w:r>
      <w:r>
        <w:rPr>
          <w:rStyle w:val="19"/>
          <w:rFonts w:hint="eastAsia" w:ascii="仿宋" w:hAnsi="仿宋" w:eastAsia="仿宋"/>
          <w:b w:val="0"/>
          <w:bCs/>
          <w:color w:val="000000" w:themeColor="text1"/>
          <w:sz w:val="32"/>
          <w:szCs w:val="32"/>
          <w:highlight w:val="none"/>
          <w:lang w:eastAsia="zh-CN"/>
          <w14:textFill>
            <w14:solidFill>
              <w14:schemeClr w14:val="tx1"/>
            </w14:solidFill>
          </w14:textFill>
        </w:rPr>
        <w:t>，结余部分资金年底由财政收回</w:t>
      </w:r>
      <w:r>
        <w:rPr>
          <w:rStyle w:val="19"/>
          <w:rFonts w:hint="eastAsia" w:ascii="仿宋" w:hAnsi="仿宋" w:eastAsia="仿宋"/>
          <w:b w:val="0"/>
          <w:bCs/>
          <w:color w:val="000000" w:themeColor="text1"/>
          <w:sz w:val="32"/>
          <w:szCs w:val="32"/>
          <w:highlight w:val="none"/>
          <w14:textFill>
            <w14:solidFill>
              <w14:schemeClr w14:val="tx1"/>
            </w14:solidFill>
          </w14:textFill>
        </w:rPr>
        <w:t>。</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color w:val="000000" w:themeColor="text1"/>
          <w:sz w:val="32"/>
          <w:szCs w:val="28"/>
          <w14:textFill>
            <w14:solidFill>
              <w14:schemeClr w14:val="tx1"/>
            </w14:solidFill>
          </w14:textFill>
        </w:rPr>
      </w:pPr>
      <w:r>
        <w:rPr>
          <w:rFonts w:hint="eastAsia" w:ascii="仿宋" w:hAnsi="仿宋" w:eastAsia="仿宋" w:cs="仿宋"/>
          <w:b/>
          <w:bCs/>
          <w:color w:val="000000" w:themeColor="text1"/>
          <w:sz w:val="32"/>
          <w:szCs w:val="28"/>
          <w:lang w:val="en-US" w:eastAsia="zh-CN"/>
          <w14:textFill>
            <w14:solidFill>
              <w14:schemeClr w14:val="tx1"/>
            </w14:solidFill>
          </w14:textFill>
        </w:rPr>
        <w:t>6</w:t>
      </w:r>
      <w:r>
        <w:rPr>
          <w:rFonts w:hint="eastAsia" w:ascii="仿宋" w:hAnsi="仿宋" w:eastAsia="仿宋" w:cs="仿宋"/>
          <w:b/>
          <w:bCs/>
          <w:color w:val="000000" w:themeColor="text1"/>
          <w:sz w:val="32"/>
          <w:szCs w:val="28"/>
          <w14:textFill>
            <w14:solidFill>
              <w14:schemeClr w14:val="tx1"/>
            </w14:solidFill>
          </w14:textFill>
        </w:rPr>
        <w:t>.卫生健康（类）</w:t>
      </w:r>
      <w:r>
        <w:rPr>
          <w:rFonts w:hint="eastAsia" w:ascii="仿宋" w:hAnsi="仿宋" w:eastAsia="仿宋" w:cs="仿宋"/>
          <w:b/>
          <w:bCs/>
          <w:color w:val="000000" w:themeColor="text1"/>
          <w:sz w:val="32"/>
          <w:szCs w:val="28"/>
          <w:lang w:eastAsia="zh-CN"/>
          <w14:textFill>
            <w14:solidFill>
              <w14:schemeClr w14:val="tx1"/>
            </w14:solidFill>
          </w14:textFill>
        </w:rPr>
        <w:t>行政单位事业医疗</w:t>
      </w:r>
      <w:r>
        <w:rPr>
          <w:rFonts w:hint="eastAsia" w:ascii="仿宋" w:hAnsi="仿宋" w:eastAsia="仿宋" w:cs="仿宋"/>
          <w:b/>
          <w:bCs/>
          <w:color w:val="000000" w:themeColor="text1"/>
          <w:sz w:val="32"/>
          <w:szCs w:val="28"/>
          <w14:textFill>
            <w14:solidFill>
              <w14:schemeClr w14:val="tx1"/>
            </w14:solidFill>
          </w14:textFill>
        </w:rPr>
        <w:t>（款）</w:t>
      </w:r>
      <w:r>
        <w:rPr>
          <w:rFonts w:hint="eastAsia" w:ascii="仿宋" w:hAnsi="仿宋" w:eastAsia="仿宋" w:cs="仿宋"/>
          <w:b/>
          <w:bCs/>
          <w:color w:val="000000" w:themeColor="text1"/>
          <w:sz w:val="32"/>
          <w:szCs w:val="28"/>
          <w:lang w:eastAsia="zh-CN"/>
          <w14:textFill>
            <w14:solidFill>
              <w14:schemeClr w14:val="tx1"/>
            </w14:solidFill>
          </w14:textFill>
        </w:rPr>
        <w:t>公务员医疗补助</w:t>
      </w:r>
      <w:r>
        <w:rPr>
          <w:rFonts w:hint="eastAsia" w:ascii="仿宋" w:hAnsi="仿宋" w:eastAsia="仿宋" w:cs="仿宋"/>
          <w:b/>
          <w:bCs/>
          <w:color w:val="000000" w:themeColor="text1"/>
          <w:sz w:val="32"/>
          <w:szCs w:val="28"/>
          <w14:textFill>
            <w14:solidFill>
              <w14:schemeClr w14:val="tx1"/>
            </w14:solidFill>
          </w14:textFill>
        </w:rPr>
        <w:t>（项）:</w:t>
      </w:r>
      <w:r>
        <w:rPr>
          <w:rFonts w:hint="eastAsia" w:ascii="仿宋" w:hAnsi="仿宋" w:eastAsia="仿宋" w:cs="仿宋"/>
          <w:color w:val="000000" w:themeColor="text1"/>
          <w:sz w:val="32"/>
          <w:szCs w:val="28"/>
          <w14:textFill>
            <w14:solidFill>
              <w14:schemeClr w14:val="tx1"/>
            </w14:solidFill>
          </w14:textFill>
        </w:rPr>
        <w:t>支出决算为</w:t>
      </w:r>
      <w:r>
        <w:rPr>
          <w:rFonts w:hint="eastAsia" w:ascii="仿宋" w:hAnsi="仿宋" w:eastAsia="仿宋" w:cs="仿宋"/>
          <w:color w:val="000000" w:themeColor="text1"/>
          <w:sz w:val="32"/>
          <w:szCs w:val="28"/>
          <w:lang w:val="en-US" w:eastAsia="zh-CN"/>
          <w14:textFill>
            <w14:solidFill>
              <w14:schemeClr w14:val="tx1"/>
            </w14:solidFill>
          </w14:textFill>
        </w:rPr>
        <w:t>13.62</w:t>
      </w:r>
      <w:r>
        <w:rPr>
          <w:rFonts w:hint="eastAsia" w:ascii="仿宋" w:hAnsi="仿宋" w:eastAsia="仿宋" w:cs="仿宋"/>
          <w:color w:val="000000" w:themeColor="text1"/>
          <w:sz w:val="32"/>
          <w:szCs w:val="28"/>
          <w14:textFill>
            <w14:solidFill>
              <w14:schemeClr w14:val="tx1"/>
            </w14:solidFill>
          </w14:textFill>
        </w:rPr>
        <w:t>万元，完成预算</w:t>
      </w:r>
      <w:r>
        <w:rPr>
          <w:rFonts w:hint="eastAsia" w:ascii="仿宋" w:hAnsi="仿宋" w:eastAsia="仿宋" w:cs="仿宋"/>
          <w:color w:val="000000" w:themeColor="text1"/>
          <w:sz w:val="32"/>
          <w:szCs w:val="28"/>
          <w:lang w:val="en-US" w:eastAsia="zh-CN"/>
          <w14:textFill>
            <w14:solidFill>
              <w14:schemeClr w14:val="tx1"/>
            </w14:solidFill>
          </w14:textFill>
        </w:rPr>
        <w:t>100</w:t>
      </w:r>
      <w:r>
        <w:rPr>
          <w:rFonts w:hint="eastAsia" w:ascii="仿宋" w:hAnsi="仿宋" w:eastAsia="仿宋" w:cs="仿宋"/>
          <w:color w:val="000000" w:themeColor="text1"/>
          <w:sz w:val="32"/>
          <w:szCs w:val="28"/>
          <w14:textFill>
            <w14:solidFill>
              <w14:schemeClr w14:val="tx1"/>
            </w14:solidFill>
          </w14:textFill>
        </w:rPr>
        <w:t>%，决算数等于预算数。</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7.住房保障支出（类）住房改革支出（款）住房公积金（项）：</w:t>
      </w:r>
      <w:r>
        <w:rPr>
          <w:rFonts w:hint="eastAsia" w:ascii="仿宋" w:hAnsi="仿宋" w:eastAsia="仿宋" w:cs="仿宋"/>
          <w:color w:val="000000" w:themeColor="text1"/>
          <w:sz w:val="32"/>
          <w:szCs w:val="32"/>
          <w:lang w:val="en-US" w:eastAsia="zh-CN"/>
          <w14:textFill>
            <w14:solidFill>
              <w14:schemeClr w14:val="tx1"/>
            </w14:solidFill>
          </w14:textFill>
        </w:rPr>
        <w:t>支出决算为64.61万元，完成预算99.17%，决算数小于预算数的主要原因是，结余部分资金年底由财政收回。</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8.住房保障支出（类）住房改革支出（款）购房补贴（项）：</w:t>
      </w:r>
      <w:r>
        <w:rPr>
          <w:rFonts w:hint="eastAsia" w:ascii="仿宋" w:hAnsi="仿宋" w:eastAsia="仿宋" w:cs="仿宋"/>
          <w:color w:val="000000" w:themeColor="text1"/>
          <w:sz w:val="32"/>
          <w:szCs w:val="32"/>
          <w:lang w:val="en-US" w:eastAsia="zh-CN"/>
          <w14:textFill>
            <w14:solidFill>
              <w14:schemeClr w14:val="tx1"/>
            </w14:solidFill>
          </w14:textFill>
        </w:rPr>
        <w:t>支出决算为4.56万元，完成预算100%，决算数等于预算数。</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9.灾害防治及应急管理支出（类）应急管理事务（款）行政运行（项）:</w:t>
      </w:r>
      <w:r>
        <w:rPr>
          <w:rFonts w:hint="eastAsia" w:ascii="仿宋" w:hAnsi="仿宋" w:eastAsia="仿宋" w:cs="仿宋"/>
          <w:color w:val="000000" w:themeColor="text1"/>
          <w:sz w:val="32"/>
          <w:szCs w:val="32"/>
          <w:lang w:val="en-US" w:eastAsia="zh-CN"/>
          <w14:textFill>
            <w14:solidFill>
              <w14:schemeClr w14:val="tx1"/>
            </w14:solidFill>
          </w14:textFill>
        </w:rPr>
        <w:t xml:space="preserve"> 支出决算为684.18万元，完成预算99.83%，决算数小于预算数的主要原因是，结余部分资金年底由财政收回。</w:t>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10.灾害防治及应急管理支出（类）应急管理事务（款）一般行政管理事务（项）</w:t>
      </w:r>
      <w:r>
        <w:rPr>
          <w:rFonts w:hint="eastAsia" w:ascii="仿宋" w:hAnsi="仿宋" w:eastAsia="仿宋" w:cs="仿宋"/>
          <w:color w:val="000000" w:themeColor="text1"/>
          <w:sz w:val="32"/>
          <w:szCs w:val="32"/>
          <w:lang w:val="en-US" w:eastAsia="zh-CN"/>
          <w14:textFill>
            <w14:solidFill>
              <w14:schemeClr w14:val="tx1"/>
            </w14:solidFill>
          </w14:textFill>
        </w:rPr>
        <w:t>: 支出决算为481.93万元，完成预算88.92%，决算数小于预算数的主要原因是，部分政府采购项目履约期限跨两个自然年度，考虑项目资金安全及实际情况，资金支付方式为按月支付，未支付的尾款按规定结转至下年支付。</w:t>
      </w:r>
    </w:p>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firstLine="640" w:firstLineChars="200"/>
        <w:textAlignment w:val="auto"/>
        <w:outlineLvl w:val="1"/>
        <w:rPr>
          <w:rStyle w:val="31"/>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般公共预算财政拨款基本支出决算情况说明</w:t>
      </w:r>
      <w:bookmarkEnd w:id="34"/>
      <w:bookmarkEnd w:id="3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936.92</w:t>
      </w:r>
      <w:r>
        <w:rPr>
          <w:rFonts w:hint="eastAsia" w:ascii="仿宋" w:hAnsi="仿宋" w:eastAsia="仿宋"/>
          <w:color w:val="auto"/>
          <w:sz w:val="32"/>
          <w:szCs w:val="32"/>
          <w:highlight w:val="none"/>
        </w:rPr>
        <w:t>万元，其中</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738.08</w:t>
      </w:r>
      <w:r>
        <w:rPr>
          <w:rFonts w:hint="eastAsia" w:ascii="仿宋" w:hAnsi="仿宋" w:eastAsia="仿宋"/>
          <w:color w:val="auto"/>
          <w:sz w:val="32"/>
          <w:szCs w:val="32"/>
          <w:highlight w:val="none"/>
        </w:rPr>
        <w:t>万元，主要包括：基本工资、津贴补贴、奖金、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b/>
          <w:color w:val="auto"/>
          <w:sz w:val="32"/>
          <w:szCs w:val="32"/>
          <w:highlight w:val="none"/>
          <w:lang w:eastAsia="zh-CN"/>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198.84</w:t>
      </w:r>
      <w:r>
        <w:rPr>
          <w:rFonts w:hint="eastAsia" w:ascii="仿宋" w:hAnsi="仿宋" w:eastAsia="仿宋"/>
          <w:color w:val="auto"/>
          <w:sz w:val="32"/>
          <w:szCs w:val="32"/>
          <w:highlight w:val="none"/>
        </w:rPr>
        <w:t>万元，主要包括：办公费、印刷费、咨询费、手续费、水费、电费、邮电费、物业管理费、差旅费、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 w:hAnsi="仿宋" w:eastAsia="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1"/>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31"/>
          <w:rFonts w:hint="eastAsia" w:ascii="黑体" w:hAnsi="黑体" w:eastAsia="黑体"/>
          <w:color w:val="auto"/>
          <w:highlight w:val="none"/>
        </w:rPr>
        <w:t>“</w:t>
      </w:r>
      <w:r>
        <w:rPr>
          <w:rStyle w:val="31"/>
          <w:rFonts w:hint="eastAsia" w:ascii="黑体" w:hAnsi="黑体" w:eastAsia="黑体"/>
          <w:b w:val="0"/>
          <w:color w:val="auto"/>
          <w:highlight w:val="none"/>
        </w:rPr>
        <w:t>三公”经费财政拨款支出决算情况说明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9.88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70.64</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，保障中心</w:t>
      </w:r>
      <w:r>
        <w:rPr>
          <w:rFonts w:hint="eastAsia" w:ascii="仿宋" w:hAnsi="仿宋" w:eastAsia="仿宋"/>
          <w:color w:val="auto"/>
          <w:sz w:val="32"/>
          <w:szCs w:val="32"/>
          <w:highlight w:val="none"/>
        </w:rPr>
        <w:t>严格执行中央八项规定精神和省委省政府十项规定，坚持厉行节约，压减“三公”经费开支。</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9.48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95.95</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0.4046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4.05</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pStyle w:val="2"/>
        <w:rPr>
          <w:rFonts w:hint="eastAsia"/>
        </w:rPr>
      </w:pPr>
      <w:r>
        <w:rPr>
          <w:rFonts w:hint="eastAsia"/>
          <w:lang w:eastAsia="zh-CN"/>
        </w:rPr>
        <w:drawing>
          <wp:inline distT="0" distB="0" distL="114300" distR="114300">
            <wp:extent cx="4986020" cy="2325370"/>
            <wp:effectExtent l="5080" t="4445" r="19050" b="13335"/>
            <wp:docPr id="2" name="图表 2" descr="7b0a202020202263686172745265734964223a202232303436393832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9"/>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1.因公出国（境）经费支出 0 万元，完成预算 0%。</w:t>
      </w:r>
      <w:r>
        <w:rPr>
          <w:rFonts w:hint="eastAsia" w:ascii="仿宋" w:hAnsi="仿宋" w:eastAsia="仿宋" w:cs="仿宋"/>
          <w:sz w:val="32"/>
          <w:szCs w:val="32"/>
        </w:rPr>
        <w:t>全年</w:t>
      </w:r>
      <w:r>
        <w:rPr>
          <w:rFonts w:hint="eastAsia" w:ascii="仿宋" w:hAnsi="仿宋" w:eastAsia="仿宋" w:cs="仿宋"/>
          <w:sz w:val="32"/>
          <w:szCs w:val="32"/>
        </w:rPr>
        <w:br w:type="textWrapping"/>
      </w:r>
      <w:r>
        <w:rPr>
          <w:rFonts w:hint="eastAsia" w:ascii="仿宋" w:hAnsi="仿宋" w:eastAsia="仿宋" w:cs="仿宋"/>
          <w:sz w:val="32"/>
          <w:szCs w:val="32"/>
        </w:rPr>
        <w:t>安排因公出国（境）团组 0 次，出国（境）0 人。因公出国</w:t>
      </w:r>
      <w:r>
        <w:rPr>
          <w:rFonts w:hint="eastAsia" w:ascii="仿宋" w:hAnsi="仿宋" w:eastAsia="仿宋" w:cs="仿宋"/>
          <w:sz w:val="32"/>
          <w:szCs w:val="32"/>
        </w:rPr>
        <w:br w:type="textWrapping"/>
      </w:r>
      <w:r>
        <w:rPr>
          <w:rFonts w:hint="eastAsia" w:ascii="仿宋" w:hAnsi="仿宋" w:eastAsia="仿宋" w:cs="仿宋"/>
          <w:sz w:val="32"/>
          <w:szCs w:val="32"/>
        </w:rPr>
        <w:t>（境）支出决算与 2020 年一致。</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en-US" w:eastAsia="zh-CN"/>
        </w:rPr>
        <w:t>2</w:t>
      </w:r>
      <w:r>
        <w:rPr>
          <w:rFonts w:hint="eastAsia" w:ascii="仿宋" w:hAnsi="仿宋" w:eastAsia="仿宋" w:cs="仿宋"/>
          <w:b/>
          <w:color w:val="auto"/>
          <w:sz w:val="32"/>
          <w:szCs w:val="32"/>
          <w:highlight w:val="none"/>
        </w:rPr>
        <w:t>.公务用车购置及运行维护费支出</w:t>
      </w:r>
      <w:r>
        <w:rPr>
          <w:rFonts w:hint="eastAsia" w:ascii="仿宋" w:hAnsi="仿宋" w:eastAsia="仿宋" w:cs="仿宋"/>
          <w:b/>
          <w:color w:val="auto"/>
          <w:sz w:val="32"/>
          <w:szCs w:val="32"/>
          <w:highlight w:val="none"/>
          <w:lang w:val="en-US" w:eastAsia="zh-CN"/>
        </w:rPr>
        <w:t>9.48</w:t>
      </w:r>
      <w:r>
        <w:rPr>
          <w:rFonts w:hint="eastAsia" w:ascii="仿宋" w:hAnsi="仿宋" w:eastAsia="仿宋" w:cs="仿宋"/>
          <w:color w:val="auto"/>
          <w:sz w:val="32"/>
          <w:szCs w:val="32"/>
          <w:highlight w:val="none"/>
        </w:rPr>
        <w:t>万元,</w:t>
      </w:r>
      <w:r>
        <w:rPr>
          <w:rStyle w:val="19"/>
          <w:rFonts w:hint="eastAsia" w:ascii="仿宋" w:hAnsi="仿宋" w:eastAsia="仿宋" w:cs="仿宋"/>
          <w:b w:val="0"/>
          <w:bCs/>
          <w:color w:val="auto"/>
          <w:sz w:val="32"/>
          <w:szCs w:val="32"/>
          <w:highlight w:val="none"/>
        </w:rPr>
        <w:t>完成预算</w:t>
      </w:r>
      <w:r>
        <w:rPr>
          <w:rStyle w:val="19"/>
          <w:rFonts w:hint="eastAsia" w:ascii="仿宋" w:hAnsi="仿宋" w:eastAsia="仿宋" w:cs="仿宋"/>
          <w:b w:val="0"/>
          <w:bCs/>
          <w:color w:val="auto"/>
          <w:sz w:val="32"/>
          <w:szCs w:val="32"/>
          <w:highlight w:val="none"/>
          <w:lang w:val="en-US" w:eastAsia="zh-CN"/>
        </w:rPr>
        <w:t>94.8</w:t>
      </w:r>
      <w:r>
        <w:rPr>
          <w:rStyle w:val="19"/>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公务用车购置及运行维护费支出决算比20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4.6</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 xml:space="preserve">94.26 </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主要原因</w:t>
      </w:r>
      <w:r>
        <w:rPr>
          <w:rFonts w:hint="eastAsia" w:ascii="仿宋" w:hAnsi="仿宋" w:eastAsia="仿宋" w:cs="仿宋"/>
          <w:color w:val="auto"/>
          <w:sz w:val="32"/>
          <w:szCs w:val="32"/>
          <w:highlight w:val="none"/>
          <w:lang w:eastAsia="zh-CN"/>
        </w:rPr>
        <w:t>是，保障中心</w:t>
      </w:r>
      <w:r>
        <w:rPr>
          <w:rFonts w:hint="eastAsia" w:ascii="仿宋" w:hAnsi="仿宋" w:eastAsia="仿宋" w:cs="仿宋"/>
          <w:color w:val="auto"/>
          <w:sz w:val="32"/>
          <w:szCs w:val="32"/>
          <w:highlight w:val="none"/>
          <w:lang w:val="en-US" w:eastAsia="zh-CN"/>
        </w:rPr>
        <w:t>2021年</w:t>
      </w:r>
      <w:r>
        <w:rPr>
          <w:rFonts w:hint="eastAsia" w:ascii="仿宋" w:hAnsi="仿宋" w:eastAsia="仿宋" w:cs="仿宋"/>
          <w:color w:val="auto"/>
          <w:sz w:val="32"/>
          <w:szCs w:val="32"/>
          <w:highlight w:val="none"/>
          <w:lang w:eastAsia="zh-CN"/>
        </w:rPr>
        <w:t>实有车辆增加一辆，加之全省</w:t>
      </w:r>
      <w:r>
        <w:rPr>
          <w:rFonts w:hint="eastAsia" w:ascii="仿宋" w:hAnsi="仿宋" w:eastAsia="仿宋" w:cs="仿宋"/>
          <w:color w:val="auto"/>
          <w:sz w:val="32"/>
          <w:szCs w:val="32"/>
          <w:highlight w:val="none"/>
          <w:lang w:val="en-US" w:eastAsia="zh-CN"/>
        </w:rPr>
        <w:t>自然灾害较多</w:t>
      </w:r>
      <w:r>
        <w:rPr>
          <w:rFonts w:hint="eastAsia" w:ascii="仿宋" w:hAnsi="仿宋" w:eastAsia="仿宋" w:cs="仿宋"/>
          <w:color w:val="auto"/>
          <w:sz w:val="32"/>
          <w:szCs w:val="32"/>
          <w:highlight w:val="none"/>
          <w:lang w:eastAsia="zh-CN"/>
        </w:rPr>
        <w:t>，保障任务加重，公务用车运行维护费增加</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b/>
          <w:color w:val="auto"/>
          <w:sz w:val="32"/>
          <w:szCs w:val="32"/>
          <w:highlight w:val="none"/>
          <w:lang w:val="en-US" w:eastAsia="zh-CN"/>
        </w:rPr>
        <w:t>0</w:t>
      </w:r>
      <w:r>
        <w:rPr>
          <w:rFonts w:hint="eastAsia" w:ascii="仿宋" w:hAnsi="仿宋" w:eastAsia="仿宋" w:cs="仿宋"/>
          <w:color w:val="auto"/>
          <w:sz w:val="32"/>
          <w:szCs w:val="32"/>
          <w:highlight w:val="none"/>
        </w:rPr>
        <w:t>万元。全年按规定更新购置公务用车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万元，越野车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万元，载客汽车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万元。截至20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年12月底，单位共有公务用车</w:t>
      </w:r>
      <w:r>
        <w:rPr>
          <w:rFonts w:hint="eastAsia" w:ascii="仿宋" w:hAnsi="仿宋" w:eastAsia="仿宋" w:cs="仿宋"/>
          <w:color w:val="auto"/>
          <w:sz w:val="32"/>
          <w:szCs w:val="32"/>
          <w:highlight w:val="none"/>
          <w:lang w:val="en-US" w:eastAsia="zh-CN"/>
        </w:rPr>
        <w:t>2辆</w:t>
      </w:r>
      <w:r>
        <w:rPr>
          <w:rFonts w:hint="eastAsia" w:ascii="仿宋" w:hAnsi="仿宋" w:eastAsia="仿宋" w:cs="仿宋"/>
          <w:color w:val="auto"/>
          <w:sz w:val="32"/>
          <w:szCs w:val="32"/>
          <w:highlight w:val="none"/>
        </w:rPr>
        <w:t>，其中：轿车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（商务车）</w:t>
      </w:r>
      <w:r>
        <w:rPr>
          <w:rFonts w:hint="eastAsia" w:ascii="仿宋" w:hAnsi="仿宋" w:eastAsia="仿宋" w:cs="仿宋"/>
          <w:color w:val="auto"/>
          <w:sz w:val="32"/>
          <w:szCs w:val="32"/>
          <w:highlight w:val="none"/>
        </w:rPr>
        <w:t>、越野车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辆、载客汽车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公务用车运行维护费支出</w:t>
      </w:r>
      <w:r>
        <w:rPr>
          <w:rFonts w:hint="eastAsia" w:ascii="仿宋" w:hAnsi="仿宋" w:eastAsia="仿宋" w:cs="仿宋"/>
          <w:b/>
          <w:color w:val="auto"/>
          <w:sz w:val="32"/>
          <w:szCs w:val="32"/>
          <w:highlight w:val="none"/>
          <w:lang w:val="en-US" w:eastAsia="zh-CN"/>
        </w:rPr>
        <w:t>9.48</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公务用车</w:t>
      </w:r>
      <w:r>
        <w:rPr>
          <w:rFonts w:hint="eastAsia" w:ascii="仿宋" w:hAnsi="仿宋" w:eastAsia="仿宋" w:cs="仿宋"/>
          <w:color w:val="auto"/>
          <w:sz w:val="32"/>
          <w:szCs w:val="32"/>
          <w:highlight w:val="none"/>
        </w:rPr>
        <w:t>等所需的公务用车燃料费、维修费、过路过桥费、保险费等支出。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lang w:val="en-US" w:eastAsia="zh-CN"/>
        </w:rPr>
        <w:t>3.</w:t>
      </w:r>
      <w:r>
        <w:rPr>
          <w:rFonts w:hint="eastAsia" w:ascii="仿宋" w:hAnsi="仿宋" w:eastAsia="仿宋" w:cs="仿宋"/>
          <w:b/>
          <w:color w:val="auto"/>
          <w:sz w:val="32"/>
          <w:szCs w:val="32"/>
          <w:highlight w:val="none"/>
        </w:rPr>
        <w:t>公务接待费支出</w:t>
      </w:r>
      <w:r>
        <w:rPr>
          <w:rFonts w:hint="eastAsia" w:ascii="仿宋" w:hAnsi="仿宋" w:eastAsia="仿宋" w:cs="仿宋"/>
          <w:b/>
          <w:color w:val="auto"/>
          <w:sz w:val="32"/>
          <w:szCs w:val="32"/>
          <w:highlight w:val="none"/>
          <w:lang w:val="en-US" w:eastAsia="zh-CN"/>
        </w:rPr>
        <w:t>0.4046</w:t>
      </w:r>
      <w:r>
        <w:rPr>
          <w:rFonts w:hint="eastAsia" w:ascii="仿宋" w:hAnsi="仿宋" w:eastAsia="仿宋" w:cs="仿宋"/>
          <w:color w:val="auto"/>
          <w:sz w:val="32"/>
          <w:szCs w:val="32"/>
          <w:highlight w:val="none"/>
        </w:rPr>
        <w:t>万元，</w:t>
      </w:r>
      <w:r>
        <w:rPr>
          <w:rStyle w:val="19"/>
          <w:rFonts w:hint="eastAsia" w:ascii="仿宋" w:hAnsi="仿宋" w:eastAsia="仿宋" w:cs="仿宋"/>
          <w:b w:val="0"/>
          <w:bCs/>
          <w:color w:val="auto"/>
          <w:sz w:val="32"/>
          <w:szCs w:val="32"/>
          <w:highlight w:val="none"/>
        </w:rPr>
        <w:t>完成预算</w:t>
      </w:r>
      <w:r>
        <w:rPr>
          <w:rStyle w:val="19"/>
          <w:rFonts w:hint="eastAsia" w:ascii="仿宋" w:hAnsi="仿宋" w:eastAsia="仿宋" w:cs="仿宋"/>
          <w:b w:val="0"/>
          <w:bCs/>
          <w:color w:val="auto"/>
          <w:sz w:val="32"/>
          <w:szCs w:val="32"/>
          <w:highlight w:val="none"/>
          <w:lang w:val="en-US" w:eastAsia="zh-CN"/>
        </w:rPr>
        <w:t>10</w:t>
      </w:r>
      <w:r>
        <w:rPr>
          <w:rStyle w:val="19"/>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公务接待费支出决算比20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0.3646</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900</w:t>
      </w:r>
      <w:r>
        <w:rPr>
          <w:rFonts w:hint="eastAsia" w:ascii="仿宋" w:hAnsi="仿宋" w:eastAsia="仿宋" w:cs="仿宋"/>
          <w:color w:val="auto"/>
          <w:sz w:val="32"/>
          <w:szCs w:val="32"/>
          <w:highlight w:val="none"/>
        </w:rPr>
        <w:t>%。主要原因是，因</w:t>
      </w:r>
      <w:r>
        <w:rPr>
          <w:rFonts w:hint="eastAsia" w:ascii="仿宋" w:hAnsi="仿宋" w:eastAsia="仿宋" w:cs="仿宋"/>
          <w:color w:val="auto"/>
          <w:sz w:val="32"/>
          <w:szCs w:val="32"/>
          <w:highlight w:val="none"/>
          <w:lang w:val="en-US" w:eastAsia="zh-CN"/>
        </w:rPr>
        <w:t>保障中心是新成立单位，2020</w:t>
      </w:r>
      <w:r>
        <w:rPr>
          <w:rFonts w:hint="eastAsia" w:ascii="仿宋" w:hAnsi="仿宋" w:eastAsia="仿宋" w:cs="仿宋"/>
          <w:color w:val="auto"/>
          <w:sz w:val="32"/>
          <w:szCs w:val="32"/>
          <w:highlight w:val="none"/>
        </w:rPr>
        <w:t>年公务接待基数较小，随着人员配备的到位</w:t>
      </w:r>
      <w:r>
        <w:rPr>
          <w:rFonts w:hint="eastAsia" w:ascii="仿宋" w:hAnsi="仿宋" w:eastAsia="仿宋" w:cs="仿宋"/>
          <w:color w:val="auto"/>
          <w:sz w:val="32"/>
          <w:szCs w:val="32"/>
          <w:highlight w:val="none"/>
          <w:lang w:val="en-US" w:eastAsia="zh-CN"/>
        </w:rPr>
        <w:t>和业务更加广泛的开展</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导致实际增长额 0.</w:t>
      </w:r>
      <w:r>
        <w:rPr>
          <w:rFonts w:hint="eastAsia" w:ascii="仿宋" w:hAnsi="仿宋" w:eastAsia="仿宋" w:cs="仿宋"/>
          <w:color w:val="auto"/>
          <w:sz w:val="32"/>
          <w:szCs w:val="32"/>
          <w:highlight w:val="none"/>
          <w:lang w:val="en-US" w:eastAsia="zh-CN"/>
        </w:rPr>
        <w:t>3646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显得</w:t>
      </w:r>
      <w:r>
        <w:rPr>
          <w:rFonts w:hint="eastAsia" w:ascii="仿宋" w:hAnsi="仿宋" w:eastAsia="仿宋" w:cs="仿宋"/>
          <w:color w:val="auto"/>
          <w:sz w:val="32"/>
          <w:szCs w:val="32"/>
          <w:highlight w:val="none"/>
        </w:rPr>
        <w:t>增长比例较大。其中：</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国内公务接待支出</w:t>
      </w:r>
      <w:r>
        <w:rPr>
          <w:rFonts w:hint="eastAsia" w:ascii="仿宋" w:hAnsi="仿宋" w:eastAsia="仿宋" w:cs="仿宋"/>
          <w:b/>
          <w:color w:val="auto"/>
          <w:sz w:val="32"/>
          <w:szCs w:val="32"/>
          <w:highlight w:val="none"/>
          <w:lang w:val="en-US" w:eastAsia="zh-CN"/>
        </w:rPr>
        <w:t>0.4046</w:t>
      </w:r>
      <w:r>
        <w:rPr>
          <w:rFonts w:hint="eastAsia" w:ascii="仿宋" w:hAnsi="仿宋" w:eastAsia="仿宋" w:cs="仿宋"/>
          <w:color w:val="auto"/>
          <w:sz w:val="32"/>
          <w:szCs w:val="32"/>
          <w:highlight w:val="none"/>
        </w:rPr>
        <w:t>万元，主要用于执行公务、开展业务活动开支的交通费、住宿费、用餐费等)。</w:t>
      </w:r>
      <w:r>
        <w:rPr>
          <w:rFonts w:hint="eastAsia" w:ascii="仿宋" w:hAnsi="仿宋" w:eastAsia="仿宋" w:cs="仿宋"/>
          <w:color w:val="auto"/>
          <w:sz w:val="32"/>
          <w:szCs w:val="32"/>
          <w:highlight w:val="none"/>
          <w:u w:val="none"/>
        </w:rPr>
        <w:t>国内公务接待</w:t>
      </w:r>
      <w:r>
        <w:rPr>
          <w:rFonts w:hint="eastAsia" w:ascii="仿宋" w:hAnsi="仿宋" w:eastAsia="仿宋" w:cs="仿宋"/>
          <w:color w:val="auto"/>
          <w:sz w:val="32"/>
          <w:szCs w:val="32"/>
          <w:highlight w:val="none"/>
          <w:u w:val="none"/>
          <w:lang w:val="en-US" w:eastAsia="zh-CN"/>
        </w:rPr>
        <w:t>4</w:t>
      </w:r>
      <w:r>
        <w:rPr>
          <w:rFonts w:hint="eastAsia" w:ascii="仿宋" w:hAnsi="仿宋" w:eastAsia="仿宋" w:cs="仿宋"/>
          <w:color w:val="auto"/>
          <w:sz w:val="32"/>
          <w:szCs w:val="32"/>
          <w:highlight w:val="none"/>
          <w:u w:val="none"/>
        </w:rPr>
        <w:t>批次，</w:t>
      </w:r>
      <w:r>
        <w:rPr>
          <w:rFonts w:hint="eastAsia" w:ascii="仿宋" w:hAnsi="仿宋" w:eastAsia="仿宋" w:cs="仿宋"/>
          <w:color w:val="auto"/>
          <w:sz w:val="32"/>
          <w:szCs w:val="32"/>
          <w:highlight w:val="none"/>
          <w:u w:val="none"/>
          <w:lang w:val="en-US" w:eastAsia="zh-CN"/>
        </w:rPr>
        <w:t>30</w:t>
      </w:r>
      <w:r>
        <w:rPr>
          <w:rFonts w:hint="eastAsia" w:ascii="仿宋" w:hAnsi="仿宋" w:eastAsia="仿宋" w:cs="仿宋"/>
          <w:color w:val="auto"/>
          <w:sz w:val="32"/>
          <w:szCs w:val="32"/>
          <w:highlight w:val="none"/>
          <w:u w:val="none"/>
        </w:rPr>
        <w:t>人次</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lang w:val="en-US" w:eastAsia="zh-CN"/>
        </w:rPr>
        <w:t>不包括陪同人数</w:t>
      </w:r>
      <w:r>
        <w:rPr>
          <w:rFonts w:hint="eastAsia" w:ascii="仿宋" w:hAnsi="仿宋" w:eastAsia="仿宋" w:cs="仿宋"/>
          <w:color w:val="auto"/>
          <w:sz w:val="32"/>
          <w:szCs w:val="32"/>
          <w:highlight w:val="none"/>
          <w:u w:val="none"/>
          <w:lang w:eastAsia="zh-CN"/>
        </w:rPr>
        <w:t>）</w:t>
      </w:r>
      <w:r>
        <w:rPr>
          <w:rFonts w:hint="eastAsia" w:ascii="仿宋" w:hAnsi="仿宋" w:eastAsia="仿宋" w:cs="仿宋"/>
          <w:color w:val="auto"/>
          <w:sz w:val="32"/>
          <w:szCs w:val="32"/>
          <w:highlight w:val="none"/>
          <w:u w:val="none"/>
        </w:rPr>
        <w:t>，共计支出</w:t>
      </w:r>
      <w:r>
        <w:rPr>
          <w:rFonts w:hint="eastAsia" w:ascii="仿宋" w:hAnsi="仿宋" w:eastAsia="仿宋" w:cs="仿宋"/>
          <w:color w:val="auto"/>
          <w:sz w:val="32"/>
          <w:szCs w:val="32"/>
          <w:highlight w:val="none"/>
          <w:u w:val="none"/>
          <w:lang w:val="en-US" w:eastAsia="zh-CN"/>
        </w:rPr>
        <w:t>0</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万元，具体内容包括用于接待考察调研、执行任务，兄弟单位学习交流，下级单位请示汇报工作等公务活动。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1"/>
          <w:rFonts w:ascii="黑体" w:hAnsi="黑体" w:eastAsia="黑体"/>
          <w:color w:val="auto"/>
          <w:highlight w:val="none"/>
        </w:rPr>
      </w:pPr>
      <w:bookmarkStart w:id="40" w:name="_Toc15377218"/>
      <w:bookmarkStart w:id="41" w:name="_Toc15396610"/>
      <w:r>
        <w:rPr>
          <w:rFonts w:hint="eastAsia" w:ascii="黑体" w:eastAsia="黑体"/>
          <w:color w:val="auto"/>
          <w:sz w:val="32"/>
          <w:szCs w:val="32"/>
          <w:highlight w:val="none"/>
        </w:rPr>
        <w:t>八、</w:t>
      </w:r>
      <w:r>
        <w:rPr>
          <w:rStyle w:val="31"/>
          <w:rFonts w:hint="eastAsia" w:ascii="黑体" w:hAnsi="黑体" w:eastAsia="黑体"/>
          <w:b w:val="0"/>
          <w:color w:val="auto"/>
          <w:highlight w:val="none"/>
        </w:rPr>
        <w:t>政府性基金预算支出决算情况说明</w:t>
      </w:r>
      <w:bookmarkEnd w:id="40"/>
      <w:bookmarkEnd w:id="41"/>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黑体" w:eastAsia="黑体"/>
          <w:color w:val="auto"/>
          <w:sz w:val="32"/>
          <w:szCs w:val="32"/>
          <w:highlight w:val="none"/>
        </w:rPr>
      </w:pPr>
      <w:bookmarkStart w:id="42" w:name="_Toc15396611"/>
      <w:bookmarkStart w:id="43" w:name="_Toc15377219"/>
      <w:r>
        <w:rPr>
          <w:rFonts w:hint="eastAsia" w:ascii="黑体" w:eastAsia="黑体"/>
          <w:color w:val="auto"/>
          <w:sz w:val="32"/>
          <w:szCs w:val="32"/>
          <w:highlight w:val="none"/>
          <w:lang w:eastAsia="zh-CN"/>
        </w:rPr>
        <w:t>九、</w:t>
      </w:r>
      <w:r>
        <w:rPr>
          <w:rFonts w:hint="eastAsia" w:ascii="黑体" w:eastAsia="黑体"/>
          <w:color w:val="auto"/>
          <w:sz w:val="32"/>
          <w:szCs w:val="32"/>
          <w:highlight w:val="none"/>
        </w:rPr>
        <w:t>国有资本经营预算支出决算情况说明</w:t>
      </w:r>
      <w:bookmarkEnd w:id="42"/>
      <w:bookmarkEnd w:id="4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黑体" w:eastAsia="黑体"/>
          <w:color w:val="auto"/>
          <w:sz w:val="32"/>
          <w:szCs w:val="32"/>
          <w:highlight w:val="none"/>
          <w:lang w:eastAsia="zh-CN"/>
        </w:rPr>
      </w:pPr>
      <w:bookmarkStart w:id="44" w:name="_Toc15396612"/>
      <w:bookmarkStart w:id="45" w:name="_Toc15377221"/>
      <w:r>
        <w:rPr>
          <w:rFonts w:hint="eastAsia" w:ascii="黑体" w:eastAsia="黑体"/>
          <w:color w:val="auto"/>
          <w:sz w:val="32"/>
          <w:szCs w:val="32"/>
          <w:highlight w:val="none"/>
          <w:lang w:eastAsia="zh-CN"/>
        </w:rPr>
        <w:t>十、其他重要事项的情况说明</w:t>
      </w:r>
      <w:bookmarkEnd w:id="44"/>
      <w:bookmarkEnd w:id="45"/>
    </w:p>
    <w:p>
      <w:pPr>
        <w:keepNext w:val="0"/>
        <w:keepLines w:val="0"/>
        <w:pageBreakBefore w:val="0"/>
        <w:widowControl w:val="0"/>
        <w:kinsoku/>
        <w:wordWrap/>
        <w:overflowPunct/>
        <w:topLinePunct w:val="0"/>
        <w:bidi w:val="0"/>
        <w:snapToGrid/>
        <w:spacing w:line="576" w:lineRule="exact"/>
        <w:ind w:firstLine="643" w:firstLineChars="200"/>
        <w:textAlignment w:val="auto"/>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保障中心</w:t>
      </w:r>
      <w:r>
        <w:rPr>
          <w:rFonts w:hint="eastAsia" w:ascii="仿宋" w:hAnsi="仿宋" w:eastAsia="仿宋" w:cs="仿宋"/>
          <w:color w:val="auto"/>
          <w:sz w:val="32"/>
          <w:szCs w:val="32"/>
          <w:highlight w:val="none"/>
        </w:rPr>
        <w:t>机关运行经费支出</w:t>
      </w:r>
      <w:r>
        <w:rPr>
          <w:rFonts w:hint="eastAsia" w:ascii="仿宋" w:hAnsi="仿宋" w:eastAsia="仿宋" w:cs="仿宋"/>
          <w:color w:val="auto"/>
          <w:sz w:val="32"/>
          <w:szCs w:val="32"/>
          <w:highlight w:val="none"/>
          <w:lang w:val="en-US" w:eastAsia="zh-CN"/>
        </w:rPr>
        <w:t>198.84</w:t>
      </w:r>
      <w:r>
        <w:rPr>
          <w:rFonts w:hint="eastAsia" w:ascii="仿宋" w:hAnsi="仿宋" w:eastAsia="仿宋" w:cs="仿宋"/>
          <w:color w:val="auto"/>
          <w:sz w:val="32"/>
          <w:szCs w:val="32"/>
          <w:highlight w:val="none"/>
        </w:rPr>
        <w:t>万元，比20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80.88</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68.56</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主要原因是</w:t>
      </w:r>
      <w:r>
        <w:rPr>
          <w:rFonts w:hint="eastAsia" w:ascii="仿宋" w:hAnsi="仿宋" w:eastAsia="仿宋" w:cs="仿宋"/>
          <w:color w:val="auto"/>
          <w:sz w:val="32"/>
          <w:szCs w:val="32"/>
          <w:highlight w:val="none"/>
          <w:lang w:eastAsia="zh-CN"/>
        </w:rPr>
        <w:t>保障中心为机改后新成立部门，</w:t>
      </w:r>
      <w:r>
        <w:rPr>
          <w:rFonts w:hint="eastAsia" w:ascii="仿宋" w:hAnsi="仿宋" w:eastAsia="仿宋" w:cs="仿宋"/>
          <w:color w:val="auto"/>
          <w:sz w:val="32"/>
          <w:szCs w:val="32"/>
          <w:highlight w:val="none"/>
          <w:lang w:val="en-US" w:eastAsia="zh-CN"/>
        </w:rPr>
        <w:t xml:space="preserve">2021年中人员增幅较大，2020年年底保障中心实有人员37人，2021年考/调入20人，人员经费和项目经费增加较大。 </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20</w:t>
      </w: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r>
        <w:rPr>
          <w:rFonts w:hint="eastAsia" w:ascii="仿宋" w:hAnsi="仿宋" w:eastAsia="仿宋" w:cs="仿宋"/>
          <w:color w:val="000000" w:themeColor="text1"/>
          <w:sz w:val="32"/>
          <w:szCs w:val="32"/>
          <w:highlight w:val="none"/>
          <w14:textFill>
            <w14:solidFill>
              <w14:schemeClr w14:val="tx1"/>
            </w14:solidFill>
          </w14:textFill>
        </w:rPr>
        <w:t>年，</w:t>
      </w:r>
      <w:r>
        <w:rPr>
          <w:rFonts w:hint="eastAsia" w:ascii="仿宋" w:hAnsi="仿宋" w:eastAsia="仿宋" w:cs="仿宋"/>
          <w:color w:val="000000" w:themeColor="text1"/>
          <w:sz w:val="32"/>
          <w:szCs w:val="32"/>
          <w:highlight w:val="none"/>
          <w:lang w:eastAsia="zh-CN"/>
          <w14:textFill>
            <w14:solidFill>
              <w14:schemeClr w14:val="tx1"/>
            </w14:solidFill>
          </w14:textFill>
        </w:rPr>
        <w:t>保障中心</w:t>
      </w:r>
      <w:r>
        <w:rPr>
          <w:rFonts w:hint="eastAsia" w:ascii="仿宋" w:hAnsi="仿宋" w:eastAsia="仿宋" w:cs="仿宋"/>
          <w:color w:val="000000" w:themeColor="text1"/>
          <w:sz w:val="32"/>
          <w:szCs w:val="32"/>
          <w:highlight w:val="none"/>
          <w14:textFill>
            <w14:solidFill>
              <w14:schemeClr w14:val="tx1"/>
            </w14:solidFill>
          </w14:textFill>
        </w:rPr>
        <w:t>政府采购支出总额</w:t>
      </w:r>
      <w:r>
        <w:rPr>
          <w:rFonts w:hint="eastAsia" w:ascii="仿宋" w:hAnsi="仿宋" w:eastAsia="仿宋" w:cs="仿宋"/>
          <w:color w:val="000000" w:themeColor="text1"/>
          <w:sz w:val="32"/>
          <w:szCs w:val="32"/>
          <w:highlight w:val="none"/>
          <w:lang w:val="en-US" w:eastAsia="zh-CN"/>
          <w14:textFill>
            <w14:solidFill>
              <w14:schemeClr w14:val="tx1"/>
            </w14:solidFill>
          </w14:textFill>
        </w:rPr>
        <w:t>246.06</w:t>
      </w:r>
      <w:r>
        <w:rPr>
          <w:rFonts w:hint="eastAsia" w:ascii="仿宋" w:hAnsi="仿宋" w:eastAsia="仿宋" w:cs="仿宋"/>
          <w:color w:val="000000" w:themeColor="text1"/>
          <w:sz w:val="32"/>
          <w:szCs w:val="32"/>
          <w:highlight w:val="none"/>
          <w14:textFill>
            <w14:solidFill>
              <w14:schemeClr w14:val="tx1"/>
            </w14:solidFill>
          </w14:textFill>
        </w:rPr>
        <w:t>万元，其中：政府采购货物支出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8.56</w:t>
      </w:r>
      <w:r>
        <w:rPr>
          <w:rFonts w:hint="eastAsia" w:ascii="仿宋" w:hAnsi="仿宋" w:eastAsia="仿宋" w:cs="仿宋"/>
          <w:color w:val="000000" w:themeColor="text1"/>
          <w:sz w:val="32"/>
          <w:szCs w:val="32"/>
          <w:highlight w:val="none"/>
          <w14:textFill>
            <w14:solidFill>
              <w14:schemeClr w14:val="tx1"/>
            </w14:solidFill>
          </w14:textFill>
        </w:rPr>
        <w:t>万元、政府采购工程支出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万元、政府采购服务支出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228.5</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后勤劳务外包服务采购项目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支出228.5</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，办公家具及设备采购</w:t>
      </w:r>
      <w:r>
        <w:rPr>
          <w:rFonts w:hint="eastAsia" w:ascii="仿宋" w:hAnsi="仿宋" w:eastAsia="仿宋" w:cs="仿宋"/>
          <w:color w:val="000000" w:themeColor="text1"/>
          <w:sz w:val="32"/>
          <w:szCs w:val="32"/>
          <w:highlight w:val="none"/>
          <w14:textFill>
            <w14:solidFill>
              <w14:schemeClr w14:val="tx1"/>
            </w14:solidFill>
          </w14:textFill>
        </w:rPr>
        <w:t>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8.56</w:t>
      </w:r>
      <w:r>
        <w:rPr>
          <w:rFonts w:hint="eastAsia" w:ascii="仿宋" w:hAnsi="仿宋" w:eastAsia="仿宋" w:cs="仿宋"/>
          <w:color w:val="000000" w:themeColor="text1"/>
          <w:sz w:val="32"/>
          <w:szCs w:val="32"/>
          <w:highlight w:val="none"/>
          <w14:textFill>
            <w14:solidFill>
              <w14:schemeClr w14:val="tx1"/>
            </w14:solidFill>
          </w14:textFill>
        </w:rPr>
        <w:t>万元。授予中小企业合同金额</w:t>
      </w:r>
      <w:r>
        <w:rPr>
          <w:rFonts w:hint="eastAsia" w:ascii="仿宋" w:hAnsi="仿宋" w:eastAsia="仿宋" w:cs="仿宋"/>
          <w:color w:val="000000" w:themeColor="text1"/>
          <w:sz w:val="32"/>
          <w:szCs w:val="32"/>
          <w:highlight w:val="none"/>
          <w:lang w:val="en-US" w:eastAsia="zh-CN"/>
          <w14:textFill>
            <w14:solidFill>
              <w14:schemeClr w14:val="tx1"/>
            </w14:solidFill>
          </w14:textFill>
        </w:rPr>
        <w:t>1.2</w:t>
      </w:r>
      <w:r>
        <w:rPr>
          <w:rFonts w:hint="eastAsia" w:ascii="仿宋" w:hAnsi="仿宋" w:eastAsia="仿宋" w:cs="仿宋"/>
          <w:color w:val="000000" w:themeColor="text1"/>
          <w:sz w:val="32"/>
          <w:szCs w:val="32"/>
          <w:highlight w:val="none"/>
          <w14:textFill>
            <w14:solidFill>
              <w14:schemeClr w14:val="tx1"/>
            </w14:solidFill>
          </w14:textFill>
        </w:rPr>
        <w:t>万元，占政府采购支出总额的</w:t>
      </w:r>
      <w:r>
        <w:rPr>
          <w:rFonts w:hint="eastAsia" w:ascii="仿宋" w:hAnsi="仿宋" w:eastAsia="仿宋" w:cs="仿宋"/>
          <w:color w:val="000000" w:themeColor="text1"/>
          <w:sz w:val="32"/>
          <w:szCs w:val="32"/>
          <w:highlight w:val="none"/>
          <w:lang w:val="en-US" w:eastAsia="zh-CN"/>
          <w14:textFill>
            <w14:solidFill>
              <w14:schemeClr w14:val="tx1"/>
            </w14:solidFill>
          </w14:textFill>
        </w:rPr>
        <w:t>0.05</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截至20</w:t>
      </w:r>
      <w:r>
        <w:rPr>
          <w:rFonts w:hint="eastAsia" w:ascii="仿宋" w:hAnsi="仿宋" w:eastAsia="仿宋" w:cs="仿宋"/>
          <w:color w:val="000000" w:themeColor="text1"/>
          <w:sz w:val="32"/>
          <w:szCs w:val="32"/>
          <w:highlight w:val="none"/>
          <w:lang w:val="en-US" w:eastAsia="zh-CN"/>
          <w14:textFill>
            <w14:solidFill>
              <w14:schemeClr w14:val="tx1"/>
            </w14:solidFill>
          </w14:textFill>
        </w:rPr>
        <w:t>21</w:t>
      </w:r>
      <w:r>
        <w:rPr>
          <w:rFonts w:hint="eastAsia" w:ascii="仿宋" w:hAnsi="仿宋" w:eastAsia="仿宋" w:cs="仿宋"/>
          <w:color w:val="000000" w:themeColor="text1"/>
          <w:sz w:val="32"/>
          <w:szCs w:val="32"/>
          <w:highlight w:val="none"/>
          <w14:textFill>
            <w14:solidFill>
              <w14:schemeClr w14:val="tx1"/>
            </w14:solidFill>
          </w14:textFill>
        </w:rPr>
        <w:t>年12月31日，</w:t>
      </w:r>
      <w:r>
        <w:rPr>
          <w:rFonts w:hint="eastAsia" w:ascii="仿宋" w:hAnsi="仿宋" w:eastAsia="仿宋" w:cs="仿宋"/>
          <w:color w:val="000000" w:themeColor="text1"/>
          <w:sz w:val="32"/>
          <w:szCs w:val="32"/>
          <w:highlight w:val="none"/>
          <w:lang w:eastAsia="zh-CN"/>
          <w14:textFill>
            <w14:solidFill>
              <w14:schemeClr w14:val="tx1"/>
            </w14:solidFill>
          </w14:textFill>
        </w:rPr>
        <w:t>保障中心</w:t>
      </w:r>
      <w:r>
        <w:rPr>
          <w:rFonts w:hint="eastAsia" w:ascii="仿宋" w:hAnsi="仿宋" w:eastAsia="仿宋" w:cs="仿宋"/>
          <w:color w:val="000000" w:themeColor="text1"/>
          <w:sz w:val="32"/>
          <w:szCs w:val="32"/>
          <w:highlight w:val="none"/>
          <w14:textFill>
            <w14:solidFill>
              <w14:schemeClr w14:val="tx1"/>
            </w14:solidFill>
          </w14:textFill>
        </w:rPr>
        <w:t>共有车辆</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辆，其中：主要领导干部用车</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辆、机要通信用车</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辆、应急保障用车</w:t>
      </w:r>
      <w:r>
        <w:rPr>
          <w:rFonts w:hint="eastAsia" w:ascii="仿宋" w:hAnsi="仿宋" w:eastAsia="仿宋" w:cs="仿宋"/>
          <w:color w:val="000000" w:themeColor="text1"/>
          <w:sz w:val="32"/>
          <w:szCs w:val="32"/>
          <w:highlight w:val="none"/>
          <w:lang w:val="en-US" w:eastAsia="zh-CN"/>
          <w14:textFill>
            <w14:solidFill>
              <w14:schemeClr w14:val="tx1"/>
            </w14:solidFill>
          </w14:textFill>
        </w:rPr>
        <w:t>2</w:t>
      </w:r>
      <w:r>
        <w:rPr>
          <w:rFonts w:hint="eastAsia" w:ascii="仿宋" w:hAnsi="仿宋" w:eastAsia="仿宋" w:cs="仿宋"/>
          <w:color w:val="000000" w:themeColor="text1"/>
          <w:sz w:val="32"/>
          <w:szCs w:val="32"/>
          <w:highlight w:val="none"/>
          <w14:textFill>
            <w14:solidFill>
              <w14:schemeClr w14:val="tx1"/>
            </w14:solidFill>
          </w14:textFill>
        </w:rPr>
        <w:t>辆、其他用车</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单价50万元以上通用设备</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台（套），单价100万元以上专用设备</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台（套）。</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hint="eastAsia" w:ascii="仿宋" w:hAnsi="仿宋" w:eastAsia="仿宋"/>
          <w:b/>
          <w:color w:val="auto"/>
          <w:sz w:val="32"/>
          <w:szCs w:val="32"/>
          <w:highlight w:val="none"/>
        </w:rPr>
      </w:pPr>
      <w:r>
        <w:rPr>
          <w:rFonts w:hint="eastAsia" w:ascii="仿宋" w:hAnsi="仿宋" w:eastAsia="仿宋"/>
          <w:b/>
          <w:color w:val="auto"/>
          <w:sz w:val="32"/>
          <w:szCs w:val="32"/>
          <w:highlight w:val="none"/>
          <w:lang w:eastAsia="zh-CN"/>
        </w:rPr>
        <w:t>（四）</w:t>
      </w:r>
      <w:r>
        <w:rPr>
          <w:rFonts w:hint="eastAsia" w:ascii="仿宋" w:hAnsi="仿宋" w:eastAsia="仿宋"/>
          <w:b/>
          <w:color w:val="auto"/>
          <w:sz w:val="32"/>
          <w:szCs w:val="32"/>
          <w:highlight w:val="none"/>
        </w:rPr>
        <w:t>预算绩效管理情况</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根据预算绩效管理要求，本单位在2021年度预算编制阶段，组织对一般公共预算项目开展了预算事前绩效评估，对2个项目编制了绩效目标，预算执行过程中，选取2个项目开展绩效监控，年终执行完毕后，对2个项目开展了绩效目标完成情况自评。</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按要求对2021年整体支出开展绩效自评，从评价情况来看，我部门2021年的项目决策科学合理，项目管理规范有序，项目完成保质保量，从计划实施，项目立项到资金监管等方面，程序规范，确保了财政资金规范高效使用。本单位还自行组织了4个项目支出绩效评价，从评价情况来看，基本完成了项目绩效要求，保障了我省应急保障工作的顺利开展。</w:t>
      </w:r>
    </w:p>
    <w:p>
      <w:pPr>
        <w:pStyle w:val="2"/>
        <w:keepNext w:val="0"/>
        <w:keepLines w:val="0"/>
        <w:pageBreakBefore w:val="0"/>
        <w:widowControl w:val="0"/>
        <w:numPr>
          <w:ilvl w:val="0"/>
          <w:numId w:val="0"/>
        </w:numPr>
        <w:kinsoku/>
        <w:wordWrap/>
        <w:overflowPunct/>
        <w:topLinePunct w:val="0"/>
        <w:bidi w:val="0"/>
        <w:snapToGrid/>
        <w:spacing w:line="576" w:lineRule="exact"/>
        <w:ind w:firstLine="643" w:firstLineChars="200"/>
        <w:jc w:val="both"/>
        <w:textAlignment w:val="auto"/>
        <w:rPr>
          <w:rFonts w:hint="eastAsia" w:ascii="仿宋" w:hAnsi="仿宋" w:eastAsia="仿宋" w:cs="仿宋"/>
          <w:b/>
          <w:bCs/>
          <w:lang w:val="en-US" w:eastAsia="zh-CN"/>
        </w:rPr>
      </w:pPr>
      <w:r>
        <w:rPr>
          <w:rFonts w:hint="eastAsia" w:ascii="仿宋" w:hAnsi="仿宋" w:eastAsia="仿宋" w:cs="仿宋"/>
          <w:b/>
          <w:bCs/>
          <w:lang w:val="en-US" w:eastAsia="zh-CN"/>
        </w:rPr>
        <w:t>项目绩效目标完成情况：</w:t>
      </w:r>
    </w:p>
    <w:p>
      <w:pPr>
        <w:pStyle w:val="2"/>
        <w:keepNext w:val="0"/>
        <w:keepLines w:val="0"/>
        <w:pageBreakBefore w:val="0"/>
        <w:widowControl w:val="0"/>
        <w:numPr>
          <w:ilvl w:val="0"/>
          <w:numId w:val="0"/>
        </w:numPr>
        <w:kinsoku/>
        <w:wordWrap/>
        <w:overflowPunct/>
        <w:topLinePunct w:val="0"/>
        <w:bidi w:val="0"/>
        <w:snapToGrid/>
        <w:spacing w:line="576" w:lineRule="exact"/>
        <w:ind w:firstLine="640" w:firstLineChars="200"/>
        <w:jc w:val="both"/>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本单位在2021年度部门决算中反映“后勤劳务外包服务采购项目”“ 应急管理综合保障经费”等2个项目绩效目标实际完成情况。</w:t>
      </w:r>
    </w:p>
    <w:p>
      <w:pPr>
        <w:pStyle w:val="2"/>
        <w:keepNext w:val="0"/>
        <w:keepLines w:val="0"/>
        <w:pageBreakBefore w:val="0"/>
        <w:widowControl w:val="0"/>
        <w:numPr>
          <w:ilvl w:val="0"/>
          <w:numId w:val="0"/>
        </w:numPr>
        <w:kinsoku/>
        <w:wordWrap/>
        <w:overflowPunct/>
        <w:topLinePunct w:val="0"/>
        <w:bidi w:val="0"/>
        <w:snapToGrid/>
        <w:spacing w:line="576" w:lineRule="exact"/>
        <w:ind w:firstLine="640" w:firstLineChars="200"/>
        <w:jc w:val="both"/>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后勤劳务外包服务采购项目绩效目标完成情况综述。项目全年预算数275万元，执行数为228.5万元（跨年项目），本年完成预算的83.09%。通过项目实施，为厅机关提供驾驶、会务、文印等后勤保障服务。</w:t>
      </w:r>
    </w:p>
    <w:p>
      <w:pPr>
        <w:pStyle w:val="2"/>
        <w:keepNext w:val="0"/>
        <w:keepLines w:val="0"/>
        <w:pageBreakBefore w:val="0"/>
        <w:widowControl w:val="0"/>
        <w:numPr>
          <w:ilvl w:val="0"/>
          <w:numId w:val="0"/>
        </w:numPr>
        <w:kinsoku/>
        <w:wordWrap/>
        <w:overflowPunct/>
        <w:topLinePunct w:val="0"/>
        <w:bidi w:val="0"/>
        <w:snapToGrid/>
        <w:spacing w:line="576" w:lineRule="exact"/>
        <w:ind w:firstLine="640" w:firstLineChars="200"/>
        <w:jc w:val="both"/>
        <w:textAlignment w:val="auto"/>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SA"/>
          <w14:textFill>
            <w14:solidFill>
              <w14:schemeClr w14:val="tx1"/>
            </w14:solidFill>
          </w14:textFill>
        </w:rPr>
        <w:t>应急管理综合保障经费项目绩效目标完成情况综述。项目全年预算数157万元，执行数为156.99万元，完成预算的99.99%。通过项目实施，保证应急出动、日常后勤等综合应急保障相关需要。</w:t>
      </w:r>
    </w:p>
    <w:p>
      <w:pPr>
        <w:rPr>
          <w:rStyle w:val="30"/>
          <w:rFonts w:ascii="黑体" w:hAnsi="黑体" w:eastAsia="黑体"/>
          <w:b w:val="0"/>
          <w:color w:val="auto"/>
          <w:highlight w:val="none"/>
        </w:rPr>
      </w:pPr>
      <w:bookmarkStart w:id="49" w:name="_Toc15396613"/>
      <w:bookmarkStart w:id="50" w:name="_Toc15377225"/>
      <w:r>
        <w:rPr>
          <w:rStyle w:val="30"/>
          <w:rFonts w:hint="eastAsia" w:ascii="黑体" w:hAnsi="黑体" w:eastAsia="黑体"/>
          <w:b w:val="0"/>
          <w:color w:val="auto"/>
          <w:highlight w:val="none"/>
          <w:lang w:eastAsia="zh-CN"/>
        </w:rPr>
        <w:br w:type="page"/>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0" w:firstLineChars="0"/>
        <w:jc w:val="center"/>
        <w:textAlignment w:val="auto"/>
        <w:outlineLvl w:val="0"/>
        <w:rPr>
          <w:rStyle w:val="30"/>
          <w:rFonts w:ascii="黑体" w:hAnsi="黑体" w:eastAsia="黑体"/>
          <w:b w:val="0"/>
          <w:color w:val="auto"/>
          <w:highlight w:val="none"/>
        </w:rPr>
      </w:pPr>
      <w:r>
        <w:rPr>
          <w:rStyle w:val="30"/>
          <w:rFonts w:hint="eastAsia" w:ascii="黑体" w:hAnsi="黑体" w:eastAsia="黑体"/>
          <w:b w:val="0"/>
          <w:color w:val="auto"/>
          <w:highlight w:val="none"/>
          <w:lang w:eastAsia="zh-CN"/>
        </w:rPr>
        <w:t>名词</w:t>
      </w:r>
      <w:r>
        <w:rPr>
          <w:rStyle w:val="30"/>
          <w:rFonts w:hint="eastAsia" w:ascii="黑体" w:hAnsi="黑体" w:eastAsia="黑体"/>
          <w:b w:val="0"/>
          <w:color w:val="auto"/>
          <w:highlight w:val="none"/>
        </w:rPr>
        <w:t>解释</w:t>
      </w:r>
      <w:bookmarkEnd w:id="49"/>
      <w:bookmarkEnd w:id="50"/>
    </w:p>
    <w:p>
      <w:pPr>
        <w:spacing w:line="600" w:lineRule="exact"/>
        <w:jc w:val="both"/>
        <w:outlineLvl w:val="0"/>
        <w:rPr>
          <w:rFonts w:hint="default" w:ascii="仿宋_GB2312" w:hAnsi="Times New Roman" w:eastAsia="仿宋_GB2312" w:cs="Times New Roman"/>
          <w:color w:val="auto"/>
          <w:kern w:val="2"/>
          <w:sz w:val="32"/>
          <w:szCs w:val="32"/>
          <w:highlight w:val="none"/>
          <w:lang w:val="en-US" w:eastAsia="zh-CN" w:bidi="ar-SA"/>
        </w:rPr>
      </w:pPr>
      <w:bookmarkStart w:id="51" w:name="_Toc15377226"/>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2.事业收入：指事业单位开展专业业务活动及辅助活动取得的收入，保障中心无该项收入。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3.经营收入：指事业单位在专业业务活动及其辅助活动之外开展非独立核算经营活动取得的收入，保障中心无该项收入。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4.其他收入：指单位取得的除上述收入以外的各项收入。主要是投资收益、事业单位固定资产出租出借收入、存款利息收入等，保障中心无该项收入。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5.使用非财政拨款结余：指事业单位使用以前年度积累的非财政拨款结余弥补当年收支差额的金额。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 xml:space="preserve">6.年初结转和结余：指以前年度尚未完成、结转到本年按有关规定继续使用的资金。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7.结余分配：指事业单位按照会计制度规定缴纳的所得税、提取的专用结余以及转入非财政拨款结余的金额等。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8.年末结转和结余：指单位按有关规定结转到下年或以后年度继续使用的资金。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9.一般公共服务（类）其他一般公共服务支出（款）其他一般公共服务支出（项）:保障中心无该项支出。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10.教育（类）进修及培训（款）培训支出（项）: 指全省应急管理综合保障人员能力提升方面的培训。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11.社会保障和就业（类）行政事业单位养老支出（款）行政单位离退休（项）:指行政及参公单位离退休人员费用支出。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12.社会保障和就业（类）行政事业单位养老支出（款）机关事业单位基本养老保险缴费支出（项）:指在职职工养老保险支出。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13.社会保障和就业（类）抚恤（款）死亡抚恤（项）:指去世人员抚恤金。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14.卫生健康支出（类）行政事业单位医疗（款）行政单位医疗（项）:指在职职工的医疗保险支出。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15.卫生健康支出（类）行政事业单位医疗（款）公务员医疗补助（项）:指公务员医疗补助缴费支出。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16.住房保障支出（类）住房改革支出（款）住房公积金（项）:指在职职工住房公积金支出。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17.住房保障支出（类）住房改革支出（款）购房补贴（项）:指在职职工购房补贴支出。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18.灾害防治及应急管理支出（类）应急管理事务（款）行政运行（项）:指保障厅机关正常运转的日常支出，包括基本工资、津贴补贴等人员经费以及办公费、印刷费、水电费等日常公用经费。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19.灾害防治及应急管理支出（类）应急管理事务（款）一般行政管理事务（项）:指保障保障中心为完成特定的行政工作任务或事业发展目标，用于专项业务工作的经费支出。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灾害防治及应急管理支出（类）应急管理事务（款）应急管理（项）:指保障厅机关为完成特定的行政工作任务或事业发展目标，用于应急管理方面的专项业务工作经费支出。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 w:eastAsia="zh-CN" w:bidi="ar-SA"/>
        </w:rPr>
        <w:t>20</w:t>
      </w:r>
      <w:r>
        <w:rPr>
          <w:rFonts w:hint="eastAsia" w:ascii="仿宋" w:hAnsi="仿宋" w:eastAsia="仿宋" w:cs="仿宋"/>
          <w:color w:val="auto"/>
          <w:kern w:val="2"/>
          <w:sz w:val="32"/>
          <w:szCs w:val="32"/>
          <w:highlight w:val="none"/>
          <w:lang w:val="en-US" w:eastAsia="zh-CN" w:bidi="ar-SA"/>
        </w:rPr>
        <w:t>.灾害防治及应急管理支出（类）应急管理事务（款）其他应急管理支出（项）:指保障厅机关为完成特定行政工作任务和事业发展目标而安排的其他应急管理事务专项工作经费支出。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 w:eastAsia="zh-CN" w:bidi="ar-SA"/>
        </w:rPr>
        <w:t>21</w:t>
      </w:r>
      <w:r>
        <w:rPr>
          <w:rFonts w:hint="eastAsia" w:ascii="仿宋" w:hAnsi="仿宋" w:eastAsia="仿宋" w:cs="仿宋"/>
          <w:color w:val="auto"/>
          <w:kern w:val="2"/>
          <w:sz w:val="32"/>
          <w:szCs w:val="32"/>
          <w:highlight w:val="none"/>
          <w:lang w:val="en-US" w:eastAsia="zh-CN" w:bidi="ar-SA"/>
        </w:rPr>
        <w:t>.基本支出：指为保障机构正常运转、完成日常工作任务而发生的人员支出和公用支出。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 w:eastAsia="zh-CN" w:bidi="ar-SA"/>
        </w:rPr>
        <w:t>22</w:t>
      </w:r>
      <w:r>
        <w:rPr>
          <w:rFonts w:hint="eastAsia" w:ascii="仿宋" w:hAnsi="仿宋" w:eastAsia="仿宋" w:cs="仿宋"/>
          <w:color w:val="auto"/>
          <w:kern w:val="2"/>
          <w:sz w:val="32"/>
          <w:szCs w:val="32"/>
          <w:highlight w:val="none"/>
          <w:lang w:val="en-US" w:eastAsia="zh-CN" w:bidi="ar-SA"/>
        </w:rPr>
        <w:t xml:space="preserve">.项目支出：指在基本支出之外为完成特定行政任务和事业发展目标所发生的支出。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 w:eastAsia="zh-CN" w:bidi="ar-SA"/>
        </w:rPr>
        <w:t>23</w:t>
      </w:r>
      <w:r>
        <w:rPr>
          <w:rFonts w:hint="eastAsia" w:ascii="仿宋" w:hAnsi="仿宋" w:eastAsia="仿宋" w:cs="仿宋"/>
          <w:color w:val="auto"/>
          <w:kern w:val="2"/>
          <w:sz w:val="32"/>
          <w:szCs w:val="32"/>
          <w:highlight w:val="none"/>
          <w:lang w:val="en-US" w:eastAsia="zh-CN" w:bidi="ar-SA"/>
        </w:rPr>
        <w:t>.经营支出：指事业单位在专业业务活动及其辅助活动之外开展非独立核算经营活动发生的支出。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outlineLvl w:val="0"/>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 w:eastAsia="zh-CN" w:bidi="ar-SA"/>
        </w:rPr>
        <w:t>24</w:t>
      </w:r>
      <w:r>
        <w:rPr>
          <w:rFonts w:hint="eastAsia" w:ascii="仿宋" w:hAnsi="仿宋" w:eastAsia="仿宋" w:cs="仿宋"/>
          <w:color w:val="auto"/>
          <w:kern w:val="2"/>
          <w:sz w:val="32"/>
          <w:szCs w:val="32"/>
          <w:highlight w:val="none"/>
          <w:lang w:val="en-US" w:eastAsia="zh-CN" w:bidi="ar-SA"/>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both"/>
        <w:textAlignment w:val="auto"/>
        <w:outlineLvl w:val="0"/>
        <w:rPr>
          <w:rStyle w:val="30"/>
          <w:rFonts w:hint="eastAsia" w:ascii="方正公文小标宋" w:hAnsi="方正公文小标宋" w:eastAsia="方正公文小标宋" w:cs="方正公文小标宋"/>
          <w:b w:val="0"/>
          <w:color w:val="auto"/>
          <w:highlight w:val="none"/>
        </w:rPr>
      </w:pPr>
      <w:r>
        <w:rPr>
          <w:rFonts w:hint="eastAsia" w:ascii="仿宋" w:hAnsi="仿宋" w:eastAsia="仿宋" w:cs="仿宋"/>
          <w:color w:val="auto"/>
          <w:kern w:val="2"/>
          <w:sz w:val="32"/>
          <w:szCs w:val="32"/>
          <w:highlight w:val="none"/>
          <w:lang w:val="en" w:eastAsia="zh-CN" w:bidi="ar-SA"/>
        </w:rPr>
        <w:t>25</w:t>
      </w:r>
      <w:r>
        <w:rPr>
          <w:rFonts w:hint="eastAsia" w:ascii="仿宋" w:hAnsi="仿宋" w:eastAsia="仿宋" w:cs="仿宋"/>
          <w:color w:val="auto"/>
          <w:kern w:val="2"/>
          <w:sz w:val="32"/>
          <w:szCs w:val="32"/>
          <w:highlight w:val="none"/>
          <w:lang w:val="en-US" w:eastAsia="zh-CN" w:bidi="ar-SA"/>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w:t>
      </w:r>
      <w:r>
        <w:rPr>
          <w:rFonts w:hint="default" w:ascii="仿宋" w:hAnsi="仿宋" w:eastAsia="仿宋" w:cs="仿宋"/>
          <w:color w:val="auto"/>
          <w:kern w:val="2"/>
          <w:sz w:val="32"/>
          <w:szCs w:val="32"/>
          <w:highlight w:val="none"/>
          <w:lang w:val="en-US" w:eastAsia="zh-CN" w:bidi="ar-SA"/>
        </w:rPr>
        <w:t>房物业管理费、公务用车运行维护费以及其他费用。</w:t>
      </w:r>
      <w:r>
        <w:rPr>
          <w:rFonts w:hint="default" w:ascii="仿宋" w:hAnsi="仿宋" w:eastAsia="仿宋" w:cs="仿宋"/>
          <w:color w:val="auto"/>
          <w:kern w:val="2"/>
          <w:sz w:val="32"/>
          <w:szCs w:val="32"/>
          <w:highlight w:val="none"/>
          <w:lang w:val="en-US" w:eastAsia="zh-CN" w:bidi="ar-SA"/>
        </w:rPr>
        <w:br w:type="page"/>
      </w:r>
      <w:bookmarkStart w:id="52" w:name="_Toc15396614"/>
      <w:r>
        <w:rPr>
          <w:rFonts w:hint="eastAsia" w:ascii="方正公文小标宋" w:hAnsi="方正公文小标宋" w:eastAsia="方正公文小标宋" w:cs="方正公文小标宋"/>
          <w:color w:val="auto"/>
          <w:sz w:val="44"/>
          <w:szCs w:val="44"/>
          <w:highlight w:val="none"/>
        </w:rPr>
        <w:t>第</w:t>
      </w:r>
      <w:r>
        <w:rPr>
          <w:rStyle w:val="30"/>
          <w:rFonts w:hint="eastAsia" w:ascii="方正公文小标宋" w:hAnsi="方正公文小标宋" w:eastAsia="方正公文小标宋" w:cs="方正公文小标宋"/>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b/>
          <w:bCs/>
          <w:lang w:val="zh-CN" w:eastAsia="zh-CN"/>
        </w:rPr>
      </w:pPr>
      <w:r>
        <w:rPr>
          <w:rFonts w:hint="eastAsia"/>
          <w:b/>
          <w:bCs/>
          <w:lang w:val="zh-CN" w:eastAsia="zh-CN"/>
        </w:rPr>
        <w:t>附件一：202</w:t>
      </w:r>
      <w:r>
        <w:rPr>
          <w:rFonts w:hint="eastAsia"/>
          <w:b/>
          <w:bCs/>
          <w:lang w:val="en-US" w:eastAsia="zh-CN"/>
        </w:rPr>
        <w:t>1</w:t>
      </w:r>
      <w:r>
        <w:rPr>
          <w:rFonts w:hint="eastAsia"/>
          <w:b/>
          <w:bCs/>
          <w:lang w:val="zh-CN" w:eastAsia="zh-CN"/>
        </w:rPr>
        <w:t>年</w:t>
      </w:r>
      <w:r>
        <w:rPr>
          <w:rFonts w:hint="eastAsia"/>
          <w:b/>
          <w:bCs/>
          <w:lang w:val="en-US" w:eastAsia="zh-CN"/>
        </w:rPr>
        <w:t>部门预算</w:t>
      </w:r>
      <w:r>
        <w:rPr>
          <w:rFonts w:hint="eastAsia"/>
          <w:b/>
          <w:bCs/>
          <w:lang w:val="zh-CN" w:eastAsia="zh-CN"/>
        </w:rPr>
        <w:t>项目支出绩效自评报告</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1285" w:firstLineChars="400"/>
        <w:textAlignment w:val="auto"/>
        <w:rPr>
          <w:rFonts w:hint="eastAsia"/>
          <w:b/>
          <w:bCs/>
          <w:lang w:val="zh-CN" w:eastAsia="zh-CN"/>
        </w:rPr>
      </w:pPr>
      <w:r>
        <w:rPr>
          <w:rFonts w:hint="eastAsia"/>
          <w:b/>
          <w:bCs/>
          <w:lang w:val="zh-CN" w:eastAsia="zh-CN"/>
        </w:rPr>
        <w:t>（</w:t>
      </w:r>
      <w:r>
        <w:rPr>
          <w:rFonts w:hint="eastAsia"/>
          <w:b/>
          <w:bCs/>
          <w:lang w:val="en-US" w:eastAsia="zh-CN"/>
        </w:rPr>
        <w:t>后勤劳务外包服务项目</w:t>
      </w:r>
      <w:r>
        <w:rPr>
          <w:rFonts w:hint="eastAsia"/>
          <w:b/>
          <w:bCs/>
          <w:lang w:val="zh-CN" w:eastAsia="zh-CN"/>
        </w:rPr>
        <w:t>）</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zh-CN" w:eastAsia="zh-CN"/>
        </w:rPr>
      </w:pPr>
      <w:r>
        <w:rPr>
          <w:rFonts w:hint="eastAsia" w:ascii="黑体" w:hAnsi="黑体" w:eastAsia="黑体" w:cs="黑体"/>
          <w:lang w:val="en-US" w:eastAsia="zh-CN"/>
        </w:rPr>
        <w:t>一、</w:t>
      </w:r>
      <w:r>
        <w:rPr>
          <w:rFonts w:hint="eastAsia" w:ascii="黑体" w:hAnsi="黑体" w:eastAsia="黑体" w:cs="黑体"/>
          <w:lang w:val="zh-CN" w:eastAsia="zh-CN"/>
        </w:rPr>
        <w:t>项目概况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为保障机关正常运行，保障中心通过购买服务方式为机关提供驾驶服务、会务等后勤服务保障事项，通过该项目实施，有力的保障了机关各项工作的顺利开展。</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该项目年度总预算275万元，总体目标是通过购买服务方式为机关提供驾驶服务、会务等后勤服务保障事项。具体包括会务服务事项，驾驶服务事项，后勤服务事项。</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lang w:val="en-US" w:eastAsia="zh-CN"/>
        </w:rPr>
      </w:pPr>
      <w:r>
        <w:rPr>
          <w:rFonts w:hint="default" w:ascii="黑体" w:hAnsi="黑体" w:eastAsia="黑体" w:cs="黑体"/>
          <w:lang w:val="en-US" w:eastAsia="zh-CN"/>
        </w:rPr>
        <w:t>二、评价工作开展情况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根据《财政厅关于开展2021年部门、政策和项目支出绩效评价工作的通知》要求，</w:t>
      </w:r>
      <w:r>
        <w:rPr>
          <w:rFonts w:hint="eastAsia" w:ascii="仿宋" w:hAnsi="仿宋" w:eastAsia="仿宋" w:cs="仿宋"/>
          <w:lang w:val="en-US" w:eastAsia="zh-CN"/>
        </w:rPr>
        <w:t>保障中心</w:t>
      </w:r>
      <w:r>
        <w:rPr>
          <w:rFonts w:hint="default" w:ascii="仿宋" w:hAnsi="仿宋" w:eastAsia="仿宋" w:cs="仿宋"/>
          <w:lang w:val="en-US" w:eastAsia="zh-CN"/>
        </w:rPr>
        <w:t>积极开展100万元以上部门预算项目支出绩效评价工作，设定评价指标体系和评分标准，按要求进行自评。</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en-US" w:eastAsia="zh-CN"/>
        </w:rPr>
      </w:pPr>
      <w:r>
        <w:rPr>
          <w:rFonts w:hint="default" w:ascii="仿宋" w:hAnsi="仿宋" w:eastAsia="仿宋" w:cs="仿宋"/>
          <w:lang w:val="en-US" w:eastAsia="zh-CN"/>
        </w:rPr>
        <w:t>项目绩效自评采取打分评价的形式，满分为100分。总体分为部门预算管理（80分）、绩效结果应用（10分）、自评质量（10分）3个一级指标，预算编制、预算执行、完成结果、整改反馈、自评质量5个二级指标，具体细分目标制定、目标实现、编制准确、动态调整、执行进度、预算完成、违规记录、结果整改、应用反馈、自评准确10个三级指标。根据各项绩效指标，对照项目执行情况进行自评。</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三、综合评价结论</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zh-CN" w:eastAsia="zh-CN"/>
        </w:rPr>
        <w:t>从总体情况来说，我们认为，该项目决策科学合理，项目管理规范有序，项目保质保量完成。从计划实施情况来说，项目立项到资金监管等方面，程序规范，确保了财政资金规范高效使用。从项目完成情况来说，该项目基本完成相关数量指标，达到预期效益。从项目效果来说，该项目基本实现了项目绩效目标，已完工验收项目运行效果良好，经济效益、社会效益较好。</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四、绩效评价分析</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zh-CN" w:eastAsia="zh-CN"/>
        </w:rPr>
        <w:t>保障中心严格按照</w:t>
      </w:r>
      <w:r>
        <w:rPr>
          <w:rFonts w:hint="eastAsia" w:ascii="仿宋" w:hAnsi="仿宋" w:eastAsia="仿宋" w:cs="仿宋"/>
          <w:lang w:val="en-US" w:eastAsia="zh-CN"/>
        </w:rPr>
        <w:t>2021年部门预算批复要求，和单位内部控制管理相关规定，根据项目具体工作内容和绩效目标，开展相关工作。</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（二）项目管理情况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zh-CN" w:eastAsia="zh-CN"/>
        </w:rPr>
      </w:pPr>
      <w:r>
        <w:rPr>
          <w:rFonts w:hint="default" w:ascii="仿宋" w:hAnsi="仿宋" w:eastAsia="仿宋" w:cs="仿宋"/>
          <w:lang w:val="zh-CN" w:eastAsia="zh-CN"/>
        </w:rPr>
        <w:t>一是加强预算管理。按照《预算法》及财政相关要求，</w:t>
      </w:r>
      <w:r>
        <w:rPr>
          <w:rFonts w:hint="eastAsia" w:ascii="仿宋" w:hAnsi="仿宋" w:eastAsia="仿宋" w:cs="仿宋"/>
          <w:lang w:val="zh-CN" w:eastAsia="zh-CN"/>
        </w:rPr>
        <w:t>保障中心</w:t>
      </w:r>
      <w:r>
        <w:rPr>
          <w:rFonts w:hint="default" w:ascii="仿宋" w:hAnsi="仿宋" w:eastAsia="仿宋" w:cs="仿宋"/>
          <w:lang w:val="zh-CN" w:eastAsia="zh-CN"/>
        </w:rPr>
        <w:t>按“支出合理、效用优先、保障重点、兼顾一般”的原则，客观、真实、详尽的编制预算。</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zh-CN" w:eastAsia="zh-CN"/>
        </w:rPr>
      </w:pPr>
      <w:r>
        <w:rPr>
          <w:rFonts w:hint="default" w:ascii="仿宋" w:hAnsi="仿宋" w:eastAsia="仿宋" w:cs="仿宋"/>
          <w:lang w:val="zh-CN" w:eastAsia="zh-CN"/>
        </w:rPr>
        <w:t>二是加强内控建设。按照内控建设相关要求，进一步规范单位内部</w:t>
      </w:r>
      <w:r>
        <w:rPr>
          <w:rFonts w:hint="eastAsia" w:ascii="仿宋" w:hAnsi="仿宋" w:eastAsia="仿宋" w:cs="仿宋"/>
          <w:lang w:val="zh-CN" w:eastAsia="zh-CN"/>
        </w:rPr>
        <w:t>控制</w:t>
      </w:r>
      <w:r>
        <w:rPr>
          <w:rFonts w:hint="default" w:ascii="仿宋" w:hAnsi="仿宋" w:eastAsia="仿宋" w:cs="仿宋"/>
          <w:lang w:val="zh-CN" w:eastAsia="zh-CN"/>
        </w:rPr>
        <w:t>，强化廉政风险防控管理，</w:t>
      </w:r>
      <w:r>
        <w:rPr>
          <w:rFonts w:hint="eastAsia" w:ascii="仿宋" w:hAnsi="仿宋" w:eastAsia="仿宋" w:cs="仿宋"/>
          <w:lang w:val="zh-CN" w:eastAsia="zh-CN"/>
        </w:rPr>
        <w:t>保障中心制订完善了保障中心内部控制系列管理办法。</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zh-CN" w:eastAsia="zh-CN"/>
        </w:rPr>
      </w:pPr>
      <w:r>
        <w:rPr>
          <w:rFonts w:hint="default" w:ascii="仿宋" w:hAnsi="仿宋" w:eastAsia="仿宋" w:cs="仿宋"/>
          <w:lang w:val="zh-CN" w:eastAsia="zh-CN"/>
        </w:rPr>
        <w:t>三是加强内部审核监督。对于财政资金的内部监督贯穿在整个资金的安排使用中，重点监督付款程序是否合规，付款手续是否完善，资金使用是否合理，原始附件是否齐全等方面，充分发挥监督的监控职能，保证财政资金的使用效益，避免违法违纪问题的发生。</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保障中心通过公开招标方式确定了供应商为厅机关提供综合后勤保障。一是提供驾驶员服务，确保日常需要和应急出动需要。二是提供文印服务，保障机关文印室正常运转。三是提供后勤事务服务。四是提供会务服务。</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（四）项目效益情况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lang w:val="en-US" w:eastAsia="zh-CN"/>
        </w:rPr>
      </w:pPr>
      <w:r>
        <w:rPr>
          <w:rFonts w:hint="eastAsia" w:ascii="仿宋" w:hAnsi="仿宋" w:eastAsia="仿宋" w:cs="仿宋"/>
          <w:lang w:val="en-US" w:eastAsia="zh-CN"/>
        </w:rPr>
        <w:t>通过项目的实施，一是通过提供驾驶服务，确保机关日常需要和应急出动需要。二是通过提供文印服务人员，确保了机关正常文印需要。三是通过提供后勤事务服务，承担具体后勤保障事项，为机关正常运行提供了坚实保障基础。四是通过提供会务服务，为厅机关各项会议提供保障基础。</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五、存在主要问题</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一是</w:t>
      </w:r>
      <w:r>
        <w:rPr>
          <w:rFonts w:hint="eastAsia" w:ascii="仿宋" w:hAnsi="仿宋" w:eastAsia="仿宋" w:cs="仿宋"/>
          <w:lang w:val="zh-CN" w:eastAsia="zh-CN"/>
        </w:rPr>
        <w:t>需要进一步提升项目的绩效目标编制水平，提高绩效评价指标质量。</w:t>
      </w:r>
      <w:r>
        <w:rPr>
          <w:rFonts w:hint="eastAsia" w:ascii="仿宋" w:hAnsi="仿宋" w:eastAsia="仿宋" w:cs="仿宋"/>
          <w:lang w:val="en-US" w:eastAsia="zh-CN"/>
        </w:rPr>
        <w:t>二是</w:t>
      </w:r>
      <w:r>
        <w:rPr>
          <w:rFonts w:hint="eastAsia" w:ascii="仿宋" w:hAnsi="仿宋" w:eastAsia="仿宋" w:cs="仿宋"/>
          <w:lang w:val="zh-CN" w:eastAsia="zh-CN"/>
        </w:rPr>
        <w:t>充分适应新时代的新要求，加大项目资金全过程监管力度，通过事前、事中、事后的全方位跟踪检查，有效提升绩效管理水平。</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六、相关措施建议</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（一）深入学习领会全省实施预算绩效管理的要求，继续高度重视预算绩效管理工作，及早谋划和布置新的年度预算绩效目标编制工作，提出编制方案，明确编制要求，确保绩效目标科学合理。</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（二）进一步加强预算绩效目标管理，确保指向明确、细化量化、合理可行、相应匹配。精确设置绩效指标，合理确定指标值，全面反映产出、结果、成本和效益等绩效信息，切实提高绩效目标编制质量。</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（三）严格资金管理。严格按照相关文件要求，管好、用好专项资金，确保财政资金效益。</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zh-CN" w:eastAsia="zh-CN"/>
        </w:rPr>
      </w:pPr>
      <w:r>
        <w:rPr>
          <w:rFonts w:hint="eastAsia" w:ascii="仿宋" w:hAnsi="仿宋" w:eastAsia="仿宋" w:cs="仿宋"/>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b/>
          <w:bCs/>
          <w:lang w:val="zh-CN" w:eastAsia="zh-CN"/>
        </w:rPr>
      </w:pPr>
      <w:r>
        <w:rPr>
          <w:rFonts w:hint="eastAsia"/>
          <w:b/>
          <w:bCs/>
          <w:lang w:val="zh-CN" w:eastAsia="zh-CN"/>
        </w:rPr>
        <w:t>附件二：202</w:t>
      </w:r>
      <w:r>
        <w:rPr>
          <w:rFonts w:hint="eastAsia"/>
          <w:b/>
          <w:bCs/>
          <w:lang w:val="en-US" w:eastAsia="zh-CN"/>
        </w:rPr>
        <w:t>1</w:t>
      </w:r>
      <w:r>
        <w:rPr>
          <w:rFonts w:hint="eastAsia"/>
          <w:b/>
          <w:bCs/>
          <w:lang w:val="zh-CN" w:eastAsia="zh-CN"/>
        </w:rPr>
        <w:t>年</w:t>
      </w:r>
      <w:r>
        <w:rPr>
          <w:rFonts w:hint="eastAsia"/>
          <w:b/>
          <w:bCs/>
          <w:lang w:val="en-US" w:eastAsia="zh-CN"/>
        </w:rPr>
        <w:t>部门预算</w:t>
      </w:r>
      <w:r>
        <w:rPr>
          <w:rFonts w:hint="eastAsia"/>
          <w:b/>
          <w:bCs/>
          <w:lang w:val="zh-CN" w:eastAsia="zh-CN"/>
        </w:rPr>
        <w:t>项目支出绩效自评报告</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1606" w:firstLineChars="500"/>
        <w:textAlignment w:val="auto"/>
        <w:rPr>
          <w:rFonts w:hint="eastAsia"/>
          <w:b/>
          <w:bCs/>
          <w:lang w:val="zh-CN" w:eastAsia="zh-CN"/>
        </w:rPr>
      </w:pPr>
      <w:r>
        <w:rPr>
          <w:rFonts w:hint="eastAsia"/>
          <w:b/>
          <w:bCs/>
          <w:lang w:val="zh-CN" w:eastAsia="zh-CN"/>
        </w:rPr>
        <w:t>（</w:t>
      </w:r>
      <w:r>
        <w:rPr>
          <w:rFonts w:hint="eastAsia"/>
          <w:b/>
          <w:bCs/>
          <w:lang w:val="en-US" w:eastAsia="zh-CN"/>
        </w:rPr>
        <w:t>应急管理综合保障项目</w:t>
      </w:r>
      <w:r>
        <w:rPr>
          <w:rFonts w:hint="eastAsia"/>
          <w:b/>
          <w:bCs/>
          <w:lang w:val="zh-CN" w:eastAsia="zh-CN"/>
        </w:rPr>
        <w:t>）</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一、基本情况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根据《四川省应急管理厅内设机构主要职责规定（试行）》的通知（川应急〔2019〕131号），保障中心的主要职责为承担安全生产类、自然灾害类等突发事件和防灾减灾等相关综合服务保障职责，负责机关行政事务管理，组织协调机关办公用房、后勤保障、安全保卫、车辆等后勤服务保障工作。该项目主要为机关提供综合保障事项，包括聘用人员的工资社保等，临时购买服务费和其他不可预测的机动支出事项等。</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项目年度总预算157万元，总体目标是为机关提供后勤保障服务事项，确保机关正常运行。一是解决聘用人员的工资、五险一金、公积金等支出。二是应急管理综合保障事项。三是临时购买服务费和其他不可预测的机动事项。四是各类应急出动的应急保障和全勤指挥部日常保障任务。</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lang w:val="en-US" w:eastAsia="zh-CN"/>
        </w:rPr>
      </w:pPr>
      <w:r>
        <w:rPr>
          <w:rFonts w:hint="default" w:ascii="黑体" w:hAnsi="黑体" w:eastAsia="黑体" w:cs="黑体"/>
          <w:lang w:val="en-US" w:eastAsia="zh-CN"/>
        </w:rPr>
        <w:t>二、评价工作开展情况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根据《财政厅关于开展2021年部门、政策和项目支出绩效评价工作的通知》要求，保障中心积极开展100万元以上部门预算项目支出绩效评价工作，设定评价指标体系和评分标准，按要求进行自评。</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项目绩效自评采取打分评价的形式，满分为100分。总体分为部门预算管理（80分）、绩效结果应用（10分）、自评质量（10分）3个一级指标，预算编制、预算执行、完成结果、整改反馈、自评质量5个二级指标，具体细分目标制定、目标实现、编制准确、动态调整、执行进度、预算完成、违规记录、结果整改、应用反馈、自评准确10个三级指标。根据各项绩效指标，对照项目执行情况进行自评。</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三、综合评价结论</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zh-CN" w:eastAsia="zh-CN"/>
        </w:rPr>
        <w:t>从总体情况来说，我们认为，该项目决策科学合理，项目管理规范有序，项目保质保量完成。从计划实施情况来说，项目立项到资金监管等方面，程序规范，确保了财政资金规范高效使用。从项目完成情况来说，该项目基本完成相关数量指标，达到预期效益。从项目效果来说，该项目基本实现了项目绩效目标，项目运行效果良好，经济效益、社会效益较好。</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四、绩效评价分析</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（一）项目决策情况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zh-CN" w:eastAsia="zh-CN"/>
        </w:rPr>
        <w:t>保障中心严格按照</w:t>
      </w:r>
      <w:r>
        <w:rPr>
          <w:rFonts w:hint="eastAsia" w:ascii="仿宋" w:hAnsi="仿宋" w:eastAsia="仿宋" w:cs="仿宋"/>
          <w:lang w:val="en-US" w:eastAsia="zh-CN"/>
        </w:rPr>
        <w:t>2021年部门预算批复要求，和单位内部控制管理相关规定，根据项目具体工作内容和绩效目标，开展相关工作。</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（二）项目管理情况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zh-CN" w:eastAsia="zh-CN"/>
        </w:rPr>
      </w:pPr>
      <w:r>
        <w:rPr>
          <w:rFonts w:hint="default" w:ascii="仿宋" w:hAnsi="仿宋" w:eastAsia="仿宋" w:cs="仿宋"/>
          <w:lang w:val="zh-CN" w:eastAsia="zh-CN"/>
        </w:rPr>
        <w:t>一是加强预算管理。按照《预算法》及财政相关要求，</w:t>
      </w:r>
      <w:r>
        <w:rPr>
          <w:rFonts w:hint="eastAsia" w:ascii="仿宋" w:hAnsi="仿宋" w:eastAsia="仿宋" w:cs="仿宋"/>
          <w:lang w:val="zh-CN" w:eastAsia="zh-CN"/>
        </w:rPr>
        <w:t>保障中心</w:t>
      </w:r>
      <w:r>
        <w:rPr>
          <w:rFonts w:hint="default" w:ascii="仿宋" w:hAnsi="仿宋" w:eastAsia="仿宋" w:cs="仿宋"/>
          <w:lang w:val="zh-CN" w:eastAsia="zh-CN"/>
        </w:rPr>
        <w:t>按“支出合理、效用优先、保障重点、兼顾一般”的原则，客观、真实、详尽的编制预算。</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zh-CN" w:eastAsia="zh-CN"/>
        </w:rPr>
      </w:pPr>
      <w:r>
        <w:rPr>
          <w:rFonts w:hint="default" w:ascii="仿宋" w:hAnsi="仿宋" w:eastAsia="仿宋" w:cs="仿宋"/>
          <w:lang w:val="zh-CN" w:eastAsia="zh-CN"/>
        </w:rPr>
        <w:t>二是加强内控建设。按照内控建设相关要求，进一步规范单位内部</w:t>
      </w:r>
      <w:r>
        <w:rPr>
          <w:rFonts w:hint="eastAsia" w:ascii="仿宋" w:hAnsi="仿宋" w:eastAsia="仿宋" w:cs="仿宋"/>
          <w:lang w:val="zh-CN" w:eastAsia="zh-CN"/>
        </w:rPr>
        <w:t>控制</w:t>
      </w:r>
      <w:r>
        <w:rPr>
          <w:rFonts w:hint="default" w:ascii="仿宋" w:hAnsi="仿宋" w:eastAsia="仿宋" w:cs="仿宋"/>
          <w:lang w:val="zh-CN" w:eastAsia="zh-CN"/>
        </w:rPr>
        <w:t>，强化廉政风险防控管理，</w:t>
      </w:r>
      <w:r>
        <w:rPr>
          <w:rFonts w:hint="eastAsia" w:ascii="仿宋" w:hAnsi="仿宋" w:eastAsia="仿宋" w:cs="仿宋"/>
          <w:lang w:val="zh-CN" w:eastAsia="zh-CN"/>
        </w:rPr>
        <w:t>保障中心制订完善了保障中心内部控制系列管理办法。</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zh-CN" w:eastAsia="zh-CN"/>
        </w:rPr>
      </w:pPr>
      <w:r>
        <w:rPr>
          <w:rFonts w:hint="default" w:ascii="仿宋" w:hAnsi="仿宋" w:eastAsia="仿宋" w:cs="仿宋"/>
          <w:lang w:val="zh-CN" w:eastAsia="zh-CN"/>
        </w:rPr>
        <w:t>三是加强内部审核监督。对于财政资金的内部监督必须贯穿在整个资金的安排使用中，重点监督付款程序是否合规，付款手续是否完善，资金使用是否合理，原始附件是否齐全等方面，充分发挥财政监督的监控职能，保证财政资金的使用效益，避免违法违纪问题的发生。</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（三）项目产出情况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保障中心通过该项目实施保障了机关正常运行。一是解决聘用人员的工资、五险一金、公积金等支出。二是通过购买服务提供电梯维保、绿化、空调维保、弱电维护、消防等服务。三是备勤用品和其他应急出动物资的购买。</w:t>
      </w:r>
    </w:p>
    <w:p>
      <w:pPr>
        <w:pStyle w:val="2"/>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（四）项目效益情况</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default" w:ascii="仿宋" w:hAnsi="仿宋" w:eastAsia="仿宋" w:cs="仿宋"/>
          <w:lang w:val="en-US" w:eastAsia="zh-CN"/>
        </w:rPr>
        <w:t>通过项目的实施，</w:t>
      </w:r>
      <w:r>
        <w:rPr>
          <w:rFonts w:hint="eastAsia" w:ascii="仿宋" w:hAnsi="仿宋" w:eastAsia="仿宋" w:cs="仿宋"/>
          <w:lang w:val="en-US" w:eastAsia="zh-CN"/>
        </w:rPr>
        <w:t>一是解决了聘用人员工作福利支出，确保了机关日常正常运行需要和应急出动保障需要。二是通过购买服务方提供、电梯维保、绿化、空调维保、弱电维护、消防等服务，保障了机关正常运行，同时也保障了机关安全运行。三是通过该项目保障了应急出动所需，为全省应急保障提供坚实基础。</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lang w:val="en-US" w:eastAsia="zh-CN"/>
        </w:rPr>
      </w:pPr>
      <w:r>
        <w:rPr>
          <w:rFonts w:hint="eastAsia" w:ascii="黑体" w:hAnsi="黑体" w:eastAsia="黑体" w:cs="黑体"/>
          <w:lang w:val="en-US" w:eastAsia="zh-CN"/>
        </w:rPr>
        <w:t>五、存在主要问题</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lang w:val="en-US" w:eastAsia="zh-CN"/>
        </w:rPr>
      </w:pPr>
      <w:r>
        <w:rPr>
          <w:rFonts w:hint="default" w:ascii="仿宋" w:hAnsi="仿宋" w:eastAsia="仿宋" w:cs="仿宋"/>
          <w:lang w:val="en-US" w:eastAsia="zh-CN"/>
        </w:rPr>
        <w:t>一是预算执行进度未达到100%。二是</w:t>
      </w:r>
      <w:r>
        <w:rPr>
          <w:rFonts w:hint="default" w:ascii="仿宋" w:hAnsi="仿宋" w:eastAsia="仿宋" w:cs="仿宋"/>
          <w:lang w:val="zh-CN" w:eastAsia="zh-CN"/>
        </w:rPr>
        <w:t>需进一步提升项目的绩效目标编制水平，提高绩效评价指标质量。</w:t>
      </w:r>
      <w:r>
        <w:rPr>
          <w:rFonts w:hint="default" w:ascii="仿宋" w:hAnsi="仿宋" w:eastAsia="仿宋" w:cs="仿宋"/>
          <w:lang w:val="en-US" w:eastAsia="zh-CN"/>
        </w:rPr>
        <w:t>三是</w:t>
      </w:r>
      <w:r>
        <w:rPr>
          <w:rFonts w:hint="default" w:ascii="仿宋" w:hAnsi="仿宋" w:eastAsia="仿宋" w:cs="仿宋"/>
          <w:lang w:val="zh-CN" w:eastAsia="zh-CN"/>
        </w:rPr>
        <w:t>充分适应新时代的新要求，加大项目资金全过程监管力度，通过事前、事中、事后的全方位跟踪检查，有效提升绩效管理水平。</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黑体" w:hAnsi="黑体" w:eastAsia="黑体" w:cs="黑体"/>
          <w:lang w:val="en-US" w:eastAsia="zh-CN"/>
        </w:rPr>
      </w:pPr>
      <w:r>
        <w:rPr>
          <w:rFonts w:hint="default" w:ascii="黑体" w:hAnsi="黑体" w:eastAsia="黑体" w:cs="黑体"/>
          <w:lang w:val="en-US" w:eastAsia="zh-CN"/>
        </w:rPr>
        <w:t>六、相关措施建议</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（一）深入学习领会全省实施预算绩效管理的要求，继续高度重视预算绩效管理工作，及早谋划和布置下一年度预算绩效目标编制工作，提出编制方案，明确编制要求，确保绩效目标科学合理。</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（二）进一步加强预算绩效目标管理，确保指向明确、细化量化、合理可行、相应匹配。精确设置绩效指标，合理确定指标值，全面反映产出、结果、成本和效益等绩效信息，切实提高绩效目标编制质量。</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（三）严格资金管理。严格按照相关文件要求，管好、用好专项资金，确保财政资金效益。</w:t>
      </w:r>
    </w:p>
    <w:p>
      <w:pPr>
        <w:pStyle w:val="2"/>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lang w:val="en-US" w:eastAsia="zh-CN"/>
        </w:rPr>
      </w:pPr>
      <w:bookmarkStart w:id="53" w:name="_Toc15396618"/>
    </w:p>
    <w:p>
      <w:pPr>
        <w:rPr>
          <w:rFonts w:hint="eastAsia" w:ascii="仿宋" w:hAnsi="仿宋" w:eastAsia="仿宋" w:cs="仿宋"/>
          <w:lang w:val="en-US" w:eastAsia="zh-CN"/>
        </w:rPr>
      </w:pPr>
      <w:r>
        <w:rPr>
          <w:rFonts w:hint="eastAsia" w:ascii="仿宋" w:hAnsi="仿宋" w:eastAsia="仿宋" w:cs="仿宋"/>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ascii="黑体" w:hAnsi="黑体" w:eastAsia="黑体" w:cs="黑体"/>
          <w:sz w:val="28"/>
          <w:szCs w:val="22"/>
          <w:lang w:val="en-US" w:eastAsia="zh-CN"/>
        </w:rPr>
      </w:pPr>
      <w:r>
        <w:rPr>
          <w:rFonts w:hint="eastAsia" w:ascii="黑体" w:hAnsi="黑体" w:eastAsia="黑体" w:cs="黑体"/>
          <w:sz w:val="28"/>
          <w:szCs w:val="22"/>
          <w:lang w:val="en-US" w:eastAsia="zh-CN"/>
        </w:rPr>
        <w:t>附表：</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公文小标宋" w:hAnsi="方正公文小标宋" w:eastAsia="方正公文小标宋" w:cs="方正公文小标宋"/>
          <w:sz w:val="28"/>
          <w:szCs w:val="28"/>
          <w:lang w:val="en-US" w:eastAsia="zh-CN"/>
        </w:rPr>
      </w:pPr>
      <w:r>
        <w:rPr>
          <w:rFonts w:hint="eastAsia" w:ascii="方正公文小标宋" w:hAnsi="方正公文小标宋" w:eastAsia="方正公文小标宋" w:cs="方正公文小标宋"/>
          <w:sz w:val="28"/>
          <w:szCs w:val="28"/>
          <w:lang w:val="en-US" w:eastAsia="zh-CN"/>
        </w:rPr>
        <w:t>2021年100万元以上（含）特定目标类部门预算项目绩效目标自评</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（后勤劳务外包服务项目）</w:t>
      </w:r>
    </w:p>
    <w:tbl>
      <w:tblPr>
        <w:tblStyle w:val="17"/>
        <w:tblpPr w:leftFromText="180" w:rightFromText="180" w:vertAnchor="text" w:horzAnchor="page" w:tblpXSpec="center" w:tblpY="660"/>
        <w:tblOverlap w:val="never"/>
        <w:tblW w:w="101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75"/>
        <w:gridCol w:w="978"/>
        <w:gridCol w:w="1451"/>
        <w:gridCol w:w="1466"/>
        <w:gridCol w:w="1378"/>
        <w:gridCol w:w="24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33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default"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四川</w:t>
            </w:r>
            <w:r>
              <w:rPr>
                <w:rFonts w:hint="eastAsia" w:ascii="宋体" w:hAnsi="宋体" w:cs="宋体"/>
                <w:i w:val="0"/>
                <w:color w:val="auto"/>
                <w:sz w:val="24"/>
                <w:szCs w:val="24"/>
                <w:u w:val="none"/>
                <w:lang w:val="en-US" w:eastAsia="zh-CN"/>
              </w:rPr>
              <w:t>省</w:t>
            </w:r>
            <w:r>
              <w:rPr>
                <w:rFonts w:hint="eastAsia" w:ascii="宋体" w:hAnsi="宋体" w:eastAsia="宋体" w:cs="宋体"/>
                <w:i w:val="0"/>
                <w:color w:val="auto"/>
                <w:sz w:val="24"/>
                <w:szCs w:val="24"/>
                <w:u w:val="none"/>
                <w:lang w:val="en-US" w:eastAsia="zh-CN"/>
              </w:rPr>
              <w:t>应急管理厅345</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四川省应急管理保障中心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33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（万元）</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预算数：</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275</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执行数：</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33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275</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228.5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33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jc w:val="center"/>
        </w:trPr>
        <w:tc>
          <w:tcPr>
            <w:tcW w:w="2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8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 w:hRule="atLeast"/>
          <w:jc w:val="center"/>
        </w:trPr>
        <w:tc>
          <w:tcPr>
            <w:tcW w:w="2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389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top"/>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c>
          <w:tcPr>
            <w:tcW w:w="38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top"/>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83.09%（跨年项目）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23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年度绩效指标完成情况</w:t>
            </w: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预期指标值</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4"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center"/>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数量指标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服务包括驾驶、会务、文印、后勤服务等事项</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rPr>
              <w:t>为机关提供会务</w:t>
            </w:r>
            <w:r>
              <w:rPr>
                <w:rFonts w:hint="eastAsia" w:ascii="宋体" w:hAnsi="宋体" w:eastAsia="宋体" w:cs="宋体"/>
                <w:color w:val="auto"/>
                <w:sz w:val="24"/>
                <w:szCs w:val="24"/>
                <w:lang w:eastAsia="zh-CN"/>
              </w:rPr>
              <w:t>、驾驶、文印</w:t>
            </w:r>
            <w:r>
              <w:rPr>
                <w:rFonts w:hint="eastAsia" w:ascii="宋体" w:hAnsi="宋体" w:eastAsia="宋体" w:cs="宋体"/>
                <w:color w:val="auto"/>
                <w:sz w:val="24"/>
                <w:szCs w:val="24"/>
              </w:rPr>
              <w:t>等服务</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保障机关会务、驾驶、文印、后勤</w:t>
            </w:r>
            <w:r>
              <w:rPr>
                <w:rFonts w:hint="eastAsia" w:ascii="宋体" w:hAnsi="宋体" w:eastAsia="宋体" w:cs="宋体"/>
                <w:color w:val="auto"/>
                <w:sz w:val="24"/>
                <w:szCs w:val="24"/>
                <w:lang w:val="en-US" w:eastAsia="zh-CN"/>
              </w:rPr>
              <w:t>等正常运行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9"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质量指标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服务质量合格率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时效指标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eastAsia="zh-CN"/>
              </w:rPr>
              <w:t>项目完成率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成本指标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eastAsia="zh-CN"/>
              </w:rPr>
              <w:t>成本控制率</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经济效益  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宋体" w:hAnsi="宋体" w:eastAsia="宋体" w:cs="宋体"/>
                <w:i w:val="0"/>
                <w:color w:val="auto"/>
                <w:sz w:val="24"/>
                <w:szCs w:val="24"/>
                <w:u w:val="none"/>
              </w:rPr>
            </w:pP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社会效益  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宋体" w:hAnsi="宋体" w:eastAsia="宋体" w:cs="宋体"/>
                <w:i w:val="0"/>
                <w:color w:val="auto"/>
                <w:sz w:val="24"/>
                <w:szCs w:val="24"/>
                <w:u w:val="none"/>
              </w:rPr>
            </w:pP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生态效益  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both"/>
              <w:rPr>
                <w:rFonts w:hint="eastAsia" w:ascii="宋体" w:hAnsi="宋体" w:eastAsia="宋体" w:cs="宋体"/>
                <w:i w:val="0"/>
                <w:color w:val="auto"/>
                <w:sz w:val="24"/>
                <w:szCs w:val="24"/>
                <w:u w:val="none"/>
              </w:rPr>
            </w:pP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可持续影响 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服务区域环境整洁、秩序良好</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1" w:hRule="atLeast"/>
          <w:jc w:val="center"/>
        </w:trPr>
        <w:tc>
          <w:tcPr>
            <w:tcW w:w="237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firstLine="0" w:firstLineChars="0"/>
              <w:jc w:val="center"/>
              <w:rPr>
                <w:rFonts w:hint="eastAsia" w:ascii="宋体" w:hAnsi="宋体" w:eastAsia="宋体" w:cs="宋体"/>
                <w:i w:val="0"/>
                <w:color w:val="auto"/>
                <w:sz w:val="24"/>
                <w:szCs w:val="24"/>
                <w:u w:val="none"/>
              </w:rPr>
            </w:pPr>
          </w:p>
        </w:tc>
        <w:tc>
          <w:tcPr>
            <w:tcW w:w="9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度指标</w:t>
            </w:r>
          </w:p>
        </w:tc>
        <w:tc>
          <w:tcPr>
            <w:tcW w:w="14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指标</w:t>
            </w:r>
          </w:p>
        </w:tc>
        <w:tc>
          <w:tcPr>
            <w:tcW w:w="146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eastAsia="zh-CN"/>
              </w:rPr>
            </w:pPr>
            <w:r>
              <w:rPr>
                <w:rFonts w:hint="eastAsia" w:ascii="宋体" w:hAnsi="宋体" w:eastAsia="宋体" w:cs="宋体"/>
                <w:i w:val="0"/>
                <w:color w:val="auto"/>
                <w:sz w:val="24"/>
                <w:szCs w:val="24"/>
                <w:u w:val="none"/>
                <w:lang w:eastAsia="zh-CN"/>
              </w:rPr>
              <w:t>机关后勤保障职工满意度</w:t>
            </w: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≧90%</w:t>
            </w:r>
          </w:p>
        </w:tc>
        <w:tc>
          <w:tcPr>
            <w:tcW w:w="2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firstLine="0" w:firstLineChars="0"/>
              <w:jc w:val="both"/>
              <w:textAlignment w:val="bottom"/>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92%</w:t>
            </w:r>
          </w:p>
        </w:tc>
      </w:tr>
    </w:tbl>
    <w:p>
      <w:r>
        <w:br w:type="page"/>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方正公文小标宋" w:hAnsi="方正公文小标宋" w:eastAsia="方正公文小标宋" w:cs="方正公文小标宋"/>
          <w:sz w:val="28"/>
          <w:szCs w:val="28"/>
          <w:lang w:val="en-US" w:eastAsia="zh-CN"/>
        </w:rPr>
      </w:pPr>
      <w:r>
        <w:rPr>
          <w:rFonts w:hint="eastAsia" w:ascii="方正公文小标宋" w:hAnsi="方正公文小标宋" w:eastAsia="方正公文小标宋" w:cs="方正公文小标宋"/>
          <w:sz w:val="28"/>
          <w:szCs w:val="28"/>
          <w:lang w:val="en-US" w:eastAsia="zh-CN"/>
        </w:rPr>
        <w:t>2021年100万元以上（含）特定目标类部门预算项目绩效目标自评</w:t>
      </w:r>
    </w:p>
    <w:p>
      <w:pPr>
        <w:pStyle w:val="2"/>
        <w:keepNext w:val="0"/>
        <w:keepLines w:val="0"/>
        <w:pageBreakBefore w:val="0"/>
        <w:widowControl w:val="0"/>
        <w:kinsoku/>
        <w:wordWrap/>
        <w:overflowPunct/>
        <w:topLinePunct w:val="0"/>
        <w:autoSpaceDE/>
        <w:autoSpaceDN/>
        <w:bidi w:val="0"/>
        <w:adjustRightInd/>
        <w:snapToGrid/>
        <w:spacing w:line="640" w:lineRule="exact"/>
        <w:ind w:left="0" w:leftChars="0" w:firstLine="0" w:firstLineChars="0"/>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（应急管理综合保障经费项目）</w:t>
      </w:r>
    </w:p>
    <w:tbl>
      <w:tblPr>
        <w:tblStyle w:val="17"/>
        <w:tblpPr w:leftFromText="180" w:rightFromText="180" w:vertAnchor="text" w:horzAnchor="page" w:tblpXSpec="center" w:tblpY="660"/>
        <w:tblOverlap w:val="never"/>
        <w:tblW w:w="97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18"/>
        <w:gridCol w:w="744"/>
        <w:gridCol w:w="1219"/>
        <w:gridCol w:w="1856"/>
        <w:gridCol w:w="1819"/>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27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主管部门及代码</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四川</w:t>
            </w:r>
            <w:r>
              <w:rPr>
                <w:rFonts w:hint="eastAsia" w:ascii="宋体" w:hAnsi="宋体" w:cs="宋体"/>
                <w:i w:val="0"/>
                <w:color w:val="auto"/>
                <w:sz w:val="24"/>
                <w:szCs w:val="24"/>
                <w:u w:val="none"/>
                <w:lang w:val="en-US" w:eastAsia="zh-CN"/>
              </w:rPr>
              <w:t>省</w:t>
            </w:r>
            <w:r>
              <w:rPr>
                <w:rFonts w:hint="eastAsia" w:ascii="宋体" w:hAnsi="宋体" w:eastAsia="宋体" w:cs="宋体"/>
                <w:i w:val="0"/>
                <w:color w:val="auto"/>
                <w:sz w:val="24"/>
                <w:szCs w:val="24"/>
                <w:u w:val="none"/>
                <w:lang w:val="en-US" w:eastAsia="zh-CN"/>
              </w:rPr>
              <w:t>应急管理厅345</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实施单位</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宋体" w:hAnsi="宋体" w:eastAsia="宋体" w:cs="宋体"/>
                <w:i w:val="0"/>
                <w:color w:val="auto"/>
                <w:sz w:val="24"/>
                <w:szCs w:val="24"/>
                <w:u w:val="none"/>
                <w:lang w:val="en-US" w:eastAsia="zh-CN"/>
              </w:rPr>
            </w:pPr>
            <w:r>
              <w:rPr>
                <w:rFonts w:hint="eastAsia" w:ascii="宋体" w:hAnsi="宋体" w:cs="宋体"/>
                <w:i w:val="0"/>
                <w:color w:val="auto"/>
                <w:sz w:val="24"/>
                <w:szCs w:val="24"/>
                <w:u w:val="none"/>
                <w:lang w:val="en-US" w:eastAsia="zh-CN"/>
              </w:rPr>
              <w:t>四川省应急管理保障中心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27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项目预算</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执行情况</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（万元）</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 xml:space="preserve"> 预算数：</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157</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 xml:space="preserve"> 执行数：</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27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其中：</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财政拨款</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157</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其中：</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财政拨款</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156.99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jc w:val="center"/>
        </w:trPr>
        <w:tc>
          <w:tcPr>
            <w:tcW w:w="27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其他资金</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其他资金</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jc w:val="center"/>
        </w:trPr>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年度总体目标</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完成情况</w:t>
            </w:r>
          </w:p>
        </w:tc>
        <w:tc>
          <w:tcPr>
            <w:tcW w:w="38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预期目标</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jc w:val="center"/>
        </w:trPr>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819"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100</w:t>
            </w:r>
          </w:p>
        </w:tc>
        <w:tc>
          <w:tcPr>
            <w:tcW w:w="394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99.99%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201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年度绩效指标完成情况</w:t>
            </w:r>
          </w:p>
        </w:tc>
        <w:tc>
          <w:tcPr>
            <w:tcW w:w="74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一级</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二级</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三级</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指标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预期指标值</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8"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完成</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000000" w:themeColor="text1"/>
                <w:sz w:val="24"/>
                <w:szCs w:val="24"/>
                <w:lang w:eastAsia="zh-CN"/>
                <w14:textFill>
                  <w14:solidFill>
                    <w14:schemeClr w14:val="tx1"/>
                  </w14:solidFill>
                </w14:textFill>
              </w:rPr>
              <w:t>数量指标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000000" w:themeColor="text1"/>
                <w:sz w:val="24"/>
                <w:szCs w:val="24"/>
                <w:lang w:val="en-US" w:eastAsia="zh-CN"/>
                <w14:textFill>
                  <w14:solidFill>
                    <w14:schemeClr w14:val="tx1"/>
                  </w14:solidFill>
                </w14:textFill>
              </w:rPr>
              <w:t>保证</w:t>
            </w:r>
            <w:r>
              <w:rPr>
                <w:rFonts w:hint="eastAsia" w:ascii="宋体" w:hAnsi="宋体" w:eastAsia="宋体" w:cs="宋体"/>
                <w:color w:val="000000" w:themeColor="text1"/>
                <w:sz w:val="24"/>
                <w:szCs w:val="24"/>
                <w14:textFill>
                  <w14:solidFill>
                    <w14:schemeClr w14:val="tx1"/>
                  </w14:solidFill>
                </w14:textFill>
              </w:rPr>
              <w:t>聘用人员工资、社保、公积金等支出</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保障后勤相关需要。</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000000" w:themeColor="text1"/>
                <w:sz w:val="24"/>
                <w:szCs w:val="24"/>
                <w:lang w:val="en-US" w:eastAsia="zh-CN"/>
                <w14:textFill>
                  <w14:solidFill>
                    <w14:schemeClr w14:val="tx1"/>
                  </w14:solidFill>
                </w14:textFill>
              </w:rPr>
              <w:t>100%保证聘用人员相关支出；保障后勤重点支出，保障机关正常运转</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全面按照预期目标完成，完成率100%。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4"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质量指标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rPr>
              <w:t>保障应急管理综合保障工作顺利进行</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100%</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时效指标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项目完成率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100%</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成本指标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成本控制率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100%</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效益</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经济效益  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0"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社会效益指标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应急管理保障工作</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确保</w:t>
            </w:r>
            <w:r>
              <w:rPr>
                <w:rFonts w:hint="eastAsia" w:ascii="宋体" w:hAnsi="宋体" w:eastAsia="宋体" w:cs="宋体"/>
                <w:color w:val="auto"/>
                <w:sz w:val="24"/>
                <w:szCs w:val="24"/>
              </w:rPr>
              <w:t>全省应急管理综合保障工作正常运行</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rPr>
              <w:t>保障</w:t>
            </w:r>
            <w:r>
              <w:rPr>
                <w:rFonts w:hint="eastAsia" w:ascii="宋体" w:hAnsi="宋体" w:eastAsia="宋体" w:cs="宋体"/>
                <w:color w:val="auto"/>
                <w:sz w:val="24"/>
                <w:szCs w:val="24"/>
                <w:lang w:eastAsia="zh-CN"/>
              </w:rPr>
              <w:t>了</w:t>
            </w:r>
            <w:r>
              <w:rPr>
                <w:rFonts w:hint="eastAsia" w:ascii="宋体" w:hAnsi="宋体" w:eastAsia="宋体" w:cs="宋体"/>
                <w:color w:val="auto"/>
                <w:sz w:val="24"/>
                <w:szCs w:val="24"/>
              </w:rPr>
              <w:t>全省应急管理综合保障工作正常运行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生态效益  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jc w:val="center"/>
        </w:trPr>
        <w:tc>
          <w:tcPr>
            <w:tcW w:w="2018"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可持续影响指标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both"/>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jc w:val="center"/>
        </w:trPr>
        <w:tc>
          <w:tcPr>
            <w:tcW w:w="201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满意</w:t>
            </w:r>
          </w:p>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r>
              <w:rPr>
                <w:rFonts w:hint="eastAsia" w:ascii="宋体" w:hAnsi="宋体" w:eastAsia="宋体" w:cs="宋体"/>
                <w:i w:val="0"/>
                <w:color w:val="auto"/>
                <w:sz w:val="24"/>
                <w:szCs w:val="24"/>
                <w:u w:val="none"/>
                <w:lang w:val="en-US" w:eastAsia="zh-CN"/>
              </w:rPr>
              <w:t>度指标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满意度指标</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lang w:eastAsia="zh-CN"/>
              </w:rPr>
              <w:t>满意率</w:t>
            </w:r>
          </w:p>
        </w:tc>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rPr>
              <w:t>≧90%</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960" w:firstLineChars="400"/>
              <w:jc w:val="both"/>
              <w:textAlignment w:val="center"/>
              <w:rPr>
                <w:rFonts w:hint="eastAsia" w:ascii="宋体" w:hAnsi="宋体" w:eastAsia="宋体" w:cs="宋体"/>
                <w:i w:val="0"/>
                <w:color w:val="auto"/>
                <w:sz w:val="24"/>
                <w:szCs w:val="24"/>
                <w:u w:val="none"/>
              </w:rPr>
            </w:pPr>
            <w:r>
              <w:rPr>
                <w:rFonts w:hint="eastAsia" w:ascii="宋体" w:hAnsi="宋体" w:eastAsia="宋体" w:cs="宋体"/>
                <w:color w:val="auto"/>
                <w:sz w:val="24"/>
                <w:szCs w:val="24"/>
              </w:rPr>
              <w:t>9</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w:t>
            </w:r>
          </w:p>
        </w:tc>
      </w:tr>
    </w:tbl>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p>
      <w:pPr>
        <w:pStyle w:val="9"/>
      </w:pPr>
    </w:p>
    <w:p>
      <w:pPr>
        <w:rPr>
          <w:rStyle w:val="30"/>
          <w:rFonts w:hint="eastAsia" w:ascii="方正公文小标宋" w:hAnsi="方正公文小标宋" w:eastAsia="方正公文小标宋" w:cs="方正公文小标宋"/>
          <w:b w:val="0"/>
          <w:color w:val="auto"/>
          <w:sz w:val="44"/>
          <w:szCs w:val="44"/>
          <w:highlight w:val="none"/>
          <w:lang w:eastAsia="zh-CN"/>
        </w:rPr>
      </w:pPr>
      <w:r>
        <w:rPr>
          <w:rStyle w:val="30"/>
          <w:rFonts w:hint="eastAsia" w:ascii="方正公文小标宋" w:hAnsi="方正公文小标宋" w:eastAsia="方正公文小标宋" w:cs="方正公文小标宋"/>
          <w:b w:val="0"/>
          <w:color w:val="auto"/>
          <w:sz w:val="44"/>
          <w:szCs w:val="44"/>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0"/>
        <w:rPr>
          <w:rStyle w:val="30"/>
          <w:rFonts w:hint="eastAsia" w:ascii="方正公文小标宋" w:hAnsi="方正公文小标宋" w:eastAsia="方正公文小标宋" w:cs="方正公文小标宋"/>
          <w:b w:val="0"/>
          <w:color w:val="auto"/>
          <w:sz w:val="44"/>
          <w:szCs w:val="44"/>
          <w:highlight w:val="none"/>
          <w:lang w:eastAsia="zh-CN"/>
        </w:rPr>
      </w:pPr>
      <w:r>
        <w:rPr>
          <w:rStyle w:val="30"/>
          <w:rFonts w:hint="eastAsia" w:ascii="方正公文小标宋" w:hAnsi="方正公文小标宋" w:eastAsia="方正公文小标宋" w:cs="方正公文小标宋"/>
          <w:b w:val="0"/>
          <w:color w:val="auto"/>
          <w:sz w:val="44"/>
          <w:szCs w:val="44"/>
          <w:highlight w:val="none"/>
          <w:lang w:eastAsia="zh-CN"/>
        </w:rPr>
        <w:t>第</w:t>
      </w:r>
      <w:r>
        <w:rPr>
          <w:rStyle w:val="30"/>
          <w:rFonts w:hint="eastAsia" w:ascii="方正公文小标宋" w:hAnsi="方正公文小标宋" w:eastAsia="方正公文小标宋" w:cs="方正公文小标宋"/>
          <w:b w:val="0"/>
          <w:color w:val="auto"/>
          <w:sz w:val="44"/>
          <w:szCs w:val="44"/>
          <w:highlight w:val="none"/>
        </w:rPr>
        <w:t>五部分 附</w:t>
      </w:r>
      <w:bookmarkEnd w:id="51"/>
      <w:bookmarkEnd w:id="53"/>
      <w:bookmarkStart w:id="54" w:name="_Toc15396619"/>
      <w:r>
        <w:rPr>
          <w:rStyle w:val="30"/>
          <w:rFonts w:hint="eastAsia" w:ascii="方正公文小标宋" w:hAnsi="方正公文小标宋" w:eastAsia="方正公文小标宋" w:cs="方正公文小标宋"/>
          <w:b w:val="0"/>
          <w:color w:val="auto"/>
          <w:sz w:val="44"/>
          <w:szCs w:val="44"/>
          <w:highlight w:val="none"/>
          <w:lang w:eastAsia="zh-CN"/>
        </w:rPr>
        <w:t>表</w:t>
      </w:r>
    </w:p>
    <w:bookmarkEnd w:id="54"/>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r>
        <w:rPr>
          <w:rStyle w:val="31"/>
          <w:rFonts w:hint="eastAsia" w:ascii="仿宋" w:hAnsi="仿宋" w:eastAsia="仿宋"/>
          <w:b w:val="0"/>
          <w:bCs w:val="0"/>
          <w:color w:val="auto"/>
          <w:highlight w:val="none"/>
          <w:lang w:val="en-US" w:eastAsia="zh-CN"/>
        </w:rPr>
        <w:t>一、收入支出决算总表</w:t>
      </w:r>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55" w:name="_Toc15396620"/>
      <w:r>
        <w:rPr>
          <w:rStyle w:val="31"/>
          <w:rFonts w:hint="eastAsia" w:ascii="仿宋" w:hAnsi="仿宋" w:eastAsia="仿宋"/>
          <w:b w:val="0"/>
          <w:bCs w:val="0"/>
          <w:color w:val="auto"/>
          <w:highlight w:val="none"/>
          <w:lang w:val="en-US" w:eastAsia="zh-CN"/>
        </w:rPr>
        <w:t>二、收入决算表</w:t>
      </w:r>
      <w:bookmarkEnd w:id="55"/>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56" w:name="_Toc15396621"/>
      <w:r>
        <w:rPr>
          <w:rStyle w:val="31"/>
          <w:rFonts w:hint="eastAsia" w:ascii="仿宋" w:hAnsi="仿宋" w:eastAsia="仿宋"/>
          <w:b w:val="0"/>
          <w:bCs w:val="0"/>
          <w:color w:val="auto"/>
          <w:highlight w:val="none"/>
          <w:lang w:val="en-US" w:eastAsia="zh-CN"/>
        </w:rPr>
        <w:t>三、支出决算表</w:t>
      </w:r>
      <w:bookmarkEnd w:id="56"/>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57" w:name="_Toc15396622"/>
      <w:r>
        <w:rPr>
          <w:rStyle w:val="31"/>
          <w:rFonts w:hint="eastAsia" w:ascii="仿宋" w:hAnsi="仿宋" w:eastAsia="仿宋"/>
          <w:b w:val="0"/>
          <w:bCs w:val="0"/>
          <w:color w:val="auto"/>
          <w:highlight w:val="none"/>
          <w:lang w:val="en-US" w:eastAsia="zh-CN"/>
        </w:rPr>
        <w:t>四、财政拨款收入支出决算总表</w:t>
      </w:r>
      <w:bookmarkEnd w:id="57"/>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58" w:name="_Toc15396623"/>
      <w:r>
        <w:rPr>
          <w:rStyle w:val="31"/>
          <w:rFonts w:hint="eastAsia" w:ascii="仿宋" w:hAnsi="仿宋" w:eastAsia="仿宋"/>
          <w:b w:val="0"/>
          <w:bCs w:val="0"/>
          <w:color w:val="auto"/>
          <w:highlight w:val="none"/>
          <w:lang w:val="en-US" w:eastAsia="zh-CN"/>
        </w:rPr>
        <w:t>五、财政拨款支出决算明细表</w:t>
      </w:r>
      <w:bookmarkEnd w:id="58"/>
      <w:bookmarkStart w:id="59" w:name="_Toc15396624"/>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r>
        <w:rPr>
          <w:rStyle w:val="31"/>
          <w:rFonts w:hint="eastAsia" w:ascii="仿宋" w:hAnsi="仿宋" w:eastAsia="仿宋"/>
          <w:b w:val="0"/>
          <w:bCs w:val="0"/>
          <w:color w:val="auto"/>
          <w:highlight w:val="none"/>
          <w:lang w:val="en-US" w:eastAsia="zh-CN"/>
        </w:rPr>
        <w:t>六、一般公共预算财政拨款支出决算表</w:t>
      </w:r>
      <w:bookmarkEnd w:id="59"/>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0" w:name="_Toc15396625"/>
      <w:r>
        <w:rPr>
          <w:rStyle w:val="31"/>
          <w:rFonts w:hint="eastAsia" w:ascii="仿宋" w:hAnsi="仿宋" w:eastAsia="仿宋"/>
          <w:b w:val="0"/>
          <w:bCs w:val="0"/>
          <w:color w:val="auto"/>
          <w:highlight w:val="none"/>
          <w:lang w:val="en-US" w:eastAsia="zh-CN"/>
        </w:rPr>
        <w:t>七、一般公共预算财政拨款支出决算明细表</w:t>
      </w:r>
      <w:bookmarkEnd w:id="60"/>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1" w:name="_Toc15396626"/>
      <w:r>
        <w:rPr>
          <w:rStyle w:val="31"/>
          <w:rFonts w:hint="eastAsia" w:ascii="仿宋" w:hAnsi="仿宋" w:eastAsia="仿宋"/>
          <w:b w:val="0"/>
          <w:bCs w:val="0"/>
          <w:color w:val="auto"/>
          <w:highlight w:val="none"/>
          <w:lang w:val="en-US" w:eastAsia="zh-CN"/>
        </w:rPr>
        <w:t>八、一般公共预算财政拨款基本支出决算表</w:t>
      </w:r>
      <w:bookmarkEnd w:id="61"/>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2" w:name="_Toc15396627"/>
      <w:r>
        <w:rPr>
          <w:rStyle w:val="31"/>
          <w:rFonts w:hint="eastAsia" w:ascii="仿宋" w:hAnsi="仿宋" w:eastAsia="仿宋"/>
          <w:b w:val="0"/>
          <w:bCs w:val="0"/>
          <w:color w:val="auto"/>
          <w:highlight w:val="none"/>
          <w:lang w:val="en-US" w:eastAsia="zh-CN"/>
        </w:rPr>
        <w:t>九、一般公共预算财政拨款项目支出决算表</w:t>
      </w:r>
      <w:bookmarkEnd w:id="62"/>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3" w:name="_Toc15396628"/>
      <w:r>
        <w:rPr>
          <w:rStyle w:val="31"/>
          <w:rFonts w:hint="eastAsia" w:ascii="仿宋" w:hAnsi="仿宋" w:eastAsia="仿宋"/>
          <w:b w:val="0"/>
          <w:bCs w:val="0"/>
          <w:color w:val="auto"/>
          <w:highlight w:val="none"/>
          <w:lang w:val="en-US" w:eastAsia="zh-CN"/>
        </w:rPr>
        <w:t>十、一般公共预算财政拨款“三公”经费支出决算表</w:t>
      </w:r>
      <w:bookmarkEnd w:id="63"/>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4" w:name="_Toc15396629"/>
      <w:r>
        <w:rPr>
          <w:rStyle w:val="31"/>
          <w:rFonts w:hint="eastAsia" w:ascii="仿宋" w:hAnsi="仿宋" w:eastAsia="仿宋"/>
          <w:b w:val="0"/>
          <w:bCs w:val="0"/>
          <w:color w:val="auto"/>
          <w:highlight w:val="none"/>
          <w:lang w:val="en-US" w:eastAsia="zh-CN"/>
        </w:rPr>
        <w:t>十一、政府性基金预算财政拨款收入支出决算表</w:t>
      </w:r>
      <w:bookmarkEnd w:id="64"/>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5" w:name="_Toc15396630"/>
      <w:r>
        <w:rPr>
          <w:rStyle w:val="31"/>
          <w:rFonts w:hint="eastAsia" w:ascii="仿宋" w:hAnsi="仿宋" w:eastAsia="仿宋"/>
          <w:b w:val="0"/>
          <w:bCs w:val="0"/>
          <w:color w:val="auto"/>
          <w:highlight w:val="none"/>
          <w:lang w:val="en-US" w:eastAsia="zh-CN"/>
        </w:rPr>
        <w:t>十二、政府性基金预算财政拨款“三公”经费支出决算表</w:t>
      </w:r>
      <w:bookmarkEnd w:id="65"/>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bookmarkStart w:id="66" w:name="_Toc15396631"/>
      <w:r>
        <w:rPr>
          <w:rStyle w:val="31"/>
          <w:rFonts w:hint="eastAsia" w:ascii="仿宋" w:hAnsi="仿宋" w:eastAsia="仿宋"/>
          <w:b w:val="0"/>
          <w:bCs w:val="0"/>
          <w:color w:val="auto"/>
          <w:highlight w:val="none"/>
          <w:lang w:val="en-US" w:eastAsia="zh-CN"/>
        </w:rPr>
        <w:t>十三、国有资本经营预算财政拨款收入支出决算表</w:t>
      </w:r>
      <w:bookmarkEnd w:id="66"/>
    </w:p>
    <w:p>
      <w:pPr>
        <w:pStyle w:val="6"/>
        <w:keepNext/>
        <w:keepLines/>
        <w:pageBreakBefore w:val="0"/>
        <w:widowControl w:val="0"/>
        <w:kinsoku/>
        <w:wordWrap/>
        <w:overflowPunct/>
        <w:topLinePunct w:val="0"/>
        <w:autoSpaceDE/>
        <w:autoSpaceDN/>
        <w:bidi w:val="0"/>
        <w:adjustRightInd/>
        <w:snapToGrid/>
        <w:spacing w:before="240" w:after="240" w:line="560" w:lineRule="exact"/>
        <w:textAlignment w:val="auto"/>
        <w:rPr>
          <w:rStyle w:val="31"/>
          <w:rFonts w:hint="eastAsia" w:ascii="仿宋" w:hAnsi="仿宋" w:eastAsia="仿宋"/>
          <w:b w:val="0"/>
          <w:bCs w:val="0"/>
          <w:color w:val="auto"/>
          <w:highlight w:val="none"/>
          <w:lang w:val="en-US" w:eastAsia="zh-CN"/>
        </w:rPr>
      </w:pPr>
      <w:r>
        <w:rPr>
          <w:rStyle w:val="31"/>
          <w:rFonts w:hint="eastAsia" w:ascii="仿宋" w:hAnsi="仿宋" w:eastAsia="仿宋"/>
          <w:b w:val="0"/>
          <w:bCs w:val="0"/>
          <w:color w:val="auto"/>
          <w:highlight w:val="none"/>
          <w:lang w:val="en-US" w:eastAsia="zh-CN"/>
        </w:rPr>
        <w:t>十四、国有资本经营预算财政拨款支出决算表</w:t>
      </w:r>
    </w:p>
    <w:p>
      <w:pPr>
        <w:rPr>
          <w:rStyle w:val="31"/>
          <w:rFonts w:hint="eastAsia" w:ascii="仿宋" w:hAnsi="仿宋" w:eastAsia="仿宋"/>
          <w:b w:val="0"/>
          <w:bCs w:val="0"/>
          <w:color w:val="auto"/>
          <w:highlight w:val="none"/>
          <w:lang w:val="en-US" w:eastAsia="zh-CN" w:bidi="ar-SA"/>
        </w:rPr>
      </w:pPr>
    </w:p>
    <w:sectPr>
      <w:footerReference r:id="rId7" w:type="first"/>
      <w:footerReference r:id="rId6"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E8CBA06-996A-4FFC-85DC-B56A1C803D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embedRegular r:id="rId2" w:fontKey="{A1B7AF15-F1D5-4CE4-AEB5-839EC5F20577}"/>
  </w:font>
  <w:font w:name="仿宋_GB2312">
    <w:panose1 w:val="02010609030101010101"/>
    <w:charset w:val="86"/>
    <w:family w:val="modern"/>
    <w:pitch w:val="default"/>
    <w:sig w:usb0="00000001" w:usb1="080E0000" w:usb2="00000000" w:usb3="00000000" w:csb0="00040000" w:csb1="00000000"/>
    <w:embedRegular r:id="rId3" w:fontKey="{CE4568F9-64ED-4547-9ECD-F3FA4E19F16D}"/>
  </w:font>
  <w:font w:name="仿宋">
    <w:panose1 w:val="02010609060101010101"/>
    <w:charset w:val="86"/>
    <w:family w:val="auto"/>
    <w:pitch w:val="default"/>
    <w:sig w:usb0="800002BF" w:usb1="38CF7CFA" w:usb2="00000016" w:usb3="00000000" w:csb0="00040001" w:csb1="00000000"/>
    <w:embedRegular r:id="rId4" w:fontKey="{C0119402-230D-4DE9-9164-C787FD4818C1}"/>
  </w:font>
  <w:font w:name="方正小标宋简体">
    <w:panose1 w:val="02000000000000000000"/>
    <w:charset w:val="86"/>
    <w:family w:val="script"/>
    <w:pitch w:val="default"/>
    <w:sig w:usb0="00000001" w:usb1="08000000" w:usb2="00000000" w:usb3="00000000" w:csb0="00040000" w:csb1="00000000"/>
    <w:embedRegular r:id="rId5" w:fontKey="{0E82EBB8-ED25-4954-A1F9-BFF38CC23DA1}"/>
  </w:font>
  <w:font w:name="方正公文小标宋">
    <w:panose1 w:val="02000500000000000000"/>
    <w:charset w:val="86"/>
    <w:family w:val="auto"/>
    <w:pitch w:val="default"/>
    <w:sig w:usb0="A00002BF" w:usb1="38CF7CFA" w:usb2="00000016" w:usb3="00000000" w:csb0="00040001" w:csb1="00000000"/>
    <w:embedRegular r:id="rId6" w:fontKey="{30C4FC96-D82E-4E3E-9850-CAADFDD4988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yMjQzZjk5OWE1M2I2NDk4N2FiMWU4ZDNhNzc2N2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B91F30"/>
    <w:rsid w:val="02D87847"/>
    <w:rsid w:val="06BE16B7"/>
    <w:rsid w:val="0A2032A3"/>
    <w:rsid w:val="0A8B5438"/>
    <w:rsid w:val="0B8A37D8"/>
    <w:rsid w:val="0BFC01A3"/>
    <w:rsid w:val="0E71638A"/>
    <w:rsid w:val="10C055FF"/>
    <w:rsid w:val="10DD0E9B"/>
    <w:rsid w:val="118107EC"/>
    <w:rsid w:val="11DD6519"/>
    <w:rsid w:val="123A1F85"/>
    <w:rsid w:val="13904FC3"/>
    <w:rsid w:val="14D577BC"/>
    <w:rsid w:val="15E11F71"/>
    <w:rsid w:val="16BB723D"/>
    <w:rsid w:val="18015F3F"/>
    <w:rsid w:val="184D306D"/>
    <w:rsid w:val="192B3C50"/>
    <w:rsid w:val="197F341D"/>
    <w:rsid w:val="19B35408"/>
    <w:rsid w:val="1B2041A1"/>
    <w:rsid w:val="1BE8440E"/>
    <w:rsid w:val="1C157A09"/>
    <w:rsid w:val="1D155CEE"/>
    <w:rsid w:val="20D87BC6"/>
    <w:rsid w:val="20F57F95"/>
    <w:rsid w:val="210668C5"/>
    <w:rsid w:val="217318DF"/>
    <w:rsid w:val="223A625C"/>
    <w:rsid w:val="23E36B16"/>
    <w:rsid w:val="240371BF"/>
    <w:rsid w:val="24060556"/>
    <w:rsid w:val="25C741E6"/>
    <w:rsid w:val="269717CF"/>
    <w:rsid w:val="27421CD9"/>
    <w:rsid w:val="27440EEC"/>
    <w:rsid w:val="27842671"/>
    <w:rsid w:val="29FD04D3"/>
    <w:rsid w:val="2A5364C8"/>
    <w:rsid w:val="2ABE7A3E"/>
    <w:rsid w:val="2B0A6871"/>
    <w:rsid w:val="2B6B7A28"/>
    <w:rsid w:val="2B792345"/>
    <w:rsid w:val="2C2148B9"/>
    <w:rsid w:val="2C322514"/>
    <w:rsid w:val="2C91707E"/>
    <w:rsid w:val="2EFA178C"/>
    <w:rsid w:val="3069199D"/>
    <w:rsid w:val="30931EDB"/>
    <w:rsid w:val="30B46D73"/>
    <w:rsid w:val="319F7F4E"/>
    <w:rsid w:val="32513C22"/>
    <w:rsid w:val="336402BD"/>
    <w:rsid w:val="352B64A2"/>
    <w:rsid w:val="358D4A0B"/>
    <w:rsid w:val="39AE70AB"/>
    <w:rsid w:val="39D85CC7"/>
    <w:rsid w:val="3C0C0783"/>
    <w:rsid w:val="3D6D0B59"/>
    <w:rsid w:val="3E370328"/>
    <w:rsid w:val="3F9F3A96"/>
    <w:rsid w:val="3FAE6B6F"/>
    <w:rsid w:val="413E130B"/>
    <w:rsid w:val="420331DF"/>
    <w:rsid w:val="43B61EA1"/>
    <w:rsid w:val="43E007AA"/>
    <w:rsid w:val="44A91928"/>
    <w:rsid w:val="45C86072"/>
    <w:rsid w:val="4753728F"/>
    <w:rsid w:val="480A0C6A"/>
    <w:rsid w:val="493C27E9"/>
    <w:rsid w:val="496F39ED"/>
    <w:rsid w:val="49FF41D3"/>
    <w:rsid w:val="4BE068DB"/>
    <w:rsid w:val="4BF6002B"/>
    <w:rsid w:val="4ECE2238"/>
    <w:rsid w:val="504C44AA"/>
    <w:rsid w:val="508C42CC"/>
    <w:rsid w:val="50BE6F9A"/>
    <w:rsid w:val="51DB4B86"/>
    <w:rsid w:val="520B5239"/>
    <w:rsid w:val="552A1E7A"/>
    <w:rsid w:val="55333C3E"/>
    <w:rsid w:val="556D1413"/>
    <w:rsid w:val="58590108"/>
    <w:rsid w:val="5C54327E"/>
    <w:rsid w:val="5DEE73B3"/>
    <w:rsid w:val="62944D93"/>
    <w:rsid w:val="62D001CB"/>
    <w:rsid w:val="64CA39A1"/>
    <w:rsid w:val="6ACE1336"/>
    <w:rsid w:val="6C4A05C8"/>
    <w:rsid w:val="6C5F4664"/>
    <w:rsid w:val="6D077C6F"/>
    <w:rsid w:val="6DC742B3"/>
    <w:rsid w:val="71A73F04"/>
    <w:rsid w:val="71C474D4"/>
    <w:rsid w:val="72734D90"/>
    <w:rsid w:val="79991615"/>
    <w:rsid w:val="79A4565F"/>
    <w:rsid w:val="79E7B28D"/>
    <w:rsid w:val="7E7D5F66"/>
    <w:rsid w:val="7EBC773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pPr>
  </w:style>
  <w:style w:type="paragraph" w:styleId="3">
    <w:name w:val="Body Text Indent"/>
    <w:basedOn w:val="1"/>
    <w:next w:val="4"/>
    <w:qFormat/>
    <w:uiPriority w:val="0"/>
    <w:pPr>
      <w:ind w:firstLine="609" w:firstLineChars="200"/>
    </w:pPr>
    <w:rPr>
      <w:rFonts w:eastAsia="仿宋_GB2312"/>
      <w:sz w:val="32"/>
    </w:rPr>
  </w:style>
  <w:style w:type="paragraph" w:styleId="4">
    <w:name w:val="Normal Indent"/>
    <w:basedOn w:val="1"/>
    <w:qFormat/>
    <w:uiPriority w:val="0"/>
    <w:pPr>
      <w:ind w:firstLine="420" w:firstLineChars="200"/>
    </w:pPr>
    <w:rPr>
      <w:rFonts w:eastAsia="仿宋"/>
    </w:rPr>
  </w:style>
  <w:style w:type="paragraph" w:styleId="8">
    <w:name w:val="caption"/>
    <w:basedOn w:val="1"/>
    <w:next w:val="1"/>
    <w:semiHidden/>
    <w:unhideWhenUsed/>
    <w:qFormat/>
    <w:uiPriority w:val="35"/>
    <w:rPr>
      <w:rFonts w:ascii="Arial" w:hAnsi="Arial" w:eastAsia="黑体"/>
      <w:sz w:val="20"/>
    </w:rPr>
  </w:style>
  <w:style w:type="paragraph" w:styleId="9">
    <w:name w:val="Body Text"/>
    <w:basedOn w:val="1"/>
    <w:link w:val="27"/>
    <w:qFormat/>
    <w:uiPriority w:val="99"/>
    <w:pPr>
      <w:spacing w:beforeLines="30"/>
    </w:pPr>
    <w:rPr>
      <w:rFonts w:ascii="仿宋_GB2312" w:eastAsia="仿宋_GB2312"/>
      <w:kern w:val="0"/>
      <w:sz w:val="30"/>
    </w:r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3"/>
    <w:semiHidden/>
    <w:unhideWhenUsed/>
    <w:qFormat/>
    <w:uiPriority w:val="99"/>
    <w:rPr>
      <w:sz w:val="18"/>
      <w:szCs w:val="18"/>
    </w:rPr>
  </w:style>
  <w:style w:type="paragraph" w:styleId="12">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unhideWhenUsed/>
    <w:qFormat/>
    <w:uiPriority w:val="99"/>
    <w:pPr>
      <w:spacing w:beforeAutospacing="1" w:afterAutospacing="1"/>
      <w:jc w:val="left"/>
    </w:pPr>
    <w:rPr>
      <w:rFonts w:ascii="Calibri" w:hAnsi="Calibri" w:eastAsia="宋体"/>
      <w:kern w:val="0"/>
      <w:sz w:val="24"/>
      <w:szCs w:val="22"/>
    </w:rPr>
  </w:style>
  <w:style w:type="character" w:styleId="19">
    <w:name w:val="Strong"/>
    <w:basedOn w:val="18"/>
    <w:qFormat/>
    <w:uiPriority w:val="99"/>
    <w:rPr>
      <w:b/>
    </w:rPr>
  </w:style>
  <w:style w:type="character" w:styleId="20">
    <w:name w:val="Emphasis"/>
    <w:basedOn w:val="18"/>
    <w:qFormat/>
    <w:uiPriority w:val="20"/>
    <w:rPr>
      <w:i/>
    </w:rPr>
  </w:style>
  <w:style w:type="character" w:styleId="21">
    <w:name w:val="Hyperlink"/>
    <w:basedOn w:val="18"/>
    <w:unhideWhenUsed/>
    <w:qFormat/>
    <w:uiPriority w:val="99"/>
    <w:rPr>
      <w:color w:val="0000FF" w:themeColor="hyperlink"/>
      <w:u w:val="single"/>
      <w14:textFill>
        <w14:solidFill>
          <w14:schemeClr w14:val="hlink"/>
        </w14:solidFill>
      </w14:textFill>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Char"/>
    <w:link w:val="13"/>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Char"/>
    <w:link w:val="12"/>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Char"/>
    <w:link w:val="9"/>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8"/>
    <w:link w:val="5"/>
    <w:qFormat/>
    <w:uiPriority w:val="9"/>
    <w:rPr>
      <w:rFonts w:ascii="Times New Roman" w:hAnsi="Times New Roman"/>
      <w:b/>
      <w:bCs/>
      <w:kern w:val="44"/>
      <w:sz w:val="44"/>
      <w:szCs w:val="44"/>
    </w:rPr>
  </w:style>
  <w:style w:type="character" w:customStyle="1" w:styleId="31">
    <w:name w:val="标题 2 Char"/>
    <w:basedOn w:val="18"/>
    <w:link w:val="6"/>
    <w:qFormat/>
    <w:uiPriority w:val="9"/>
    <w:rPr>
      <w:rFonts w:asciiTheme="majorHAnsi" w:hAnsiTheme="majorHAnsi" w:eastAsiaTheme="majorEastAsia" w:cstheme="majorBidi"/>
      <w:b/>
      <w:bCs/>
      <w:kern w:val="2"/>
      <w:sz w:val="32"/>
      <w:szCs w:val="32"/>
    </w:rPr>
  </w:style>
  <w:style w:type="paragraph" w:customStyle="1" w:styleId="32">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11"/>
    <w:semiHidden/>
    <w:qFormat/>
    <w:uiPriority w:val="99"/>
    <w:rPr>
      <w:rFonts w:ascii="Times New Roman" w:hAnsi="Times New Roman"/>
      <w:kern w:val="2"/>
      <w:sz w:val="18"/>
      <w:szCs w:val="18"/>
    </w:rPr>
  </w:style>
  <w:style w:type="character" w:customStyle="1" w:styleId="34">
    <w:name w:val="标题 3 Char"/>
    <w:basedOn w:val="18"/>
    <w:link w:val="7"/>
    <w:qFormat/>
    <w:uiPriority w:val="9"/>
    <w:rPr>
      <w:rFonts w:ascii="Times New Roman" w:hAnsi="Times New Roman"/>
      <w:b/>
      <w:bCs/>
      <w:kern w:val="2"/>
      <w:sz w:val="32"/>
      <w:szCs w:val="32"/>
    </w:rPr>
  </w:style>
  <w:style w:type="paragraph" w:customStyle="1" w:styleId="35">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公文主体"/>
    <w:basedOn w:val="1"/>
    <w:qFormat/>
    <w:uiPriority w:val="0"/>
    <w:pPr>
      <w:spacing w:line="580" w:lineRule="exact"/>
      <w:ind w:firstLine="200" w:firstLineChars="200"/>
    </w:pPr>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image" Target="../media/image1.png"/><Relationship Id="rId2" Type="http://schemas.openxmlformats.org/officeDocument/2006/relationships/themeOverride" Target="../theme/themeOverride1.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5" Type="http://schemas.microsoft.com/office/2011/relationships/chartColorStyle" Target="colors3.xml"/><Relationship Id="rId4" Type="http://schemas.microsoft.com/office/2011/relationships/chartStyle" Target="style3.xml"/><Relationship Id="rId3" Type="http://schemas.openxmlformats.org/officeDocument/2006/relationships/image" Target="../media/image1.png"/><Relationship Id="rId2" Type="http://schemas.openxmlformats.org/officeDocument/2006/relationships/themeOverride" Target="../theme/themeOverride2.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867.67</c:v>
                </c:pt>
                <c:pt idx="1">
                  <c:v>1370.99</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22633603"/>
        <c:axId val="358335508"/>
      </c:barChart>
      <c:catAx>
        <c:axId val="22633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335508"/>
        <c:crosses val="autoZero"/>
        <c:auto val="1"/>
        <c:lblAlgn val="ctr"/>
        <c:lblOffset val="100"/>
        <c:noMultiLvlLbl val="0"/>
      </c:catAx>
      <c:valAx>
        <c:axId val="3583355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336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415278556041"/>
          <c:y val="0.189230103806228"/>
          <c:w val="0.432823505639325"/>
          <c:h val="0.698096389502181"/>
        </c:manualLayout>
      </c:layout>
      <c:pieChart>
        <c:varyColors val="1"/>
        <c:ser>
          <c:idx val="0"/>
          <c:order val="0"/>
          <c:tx>
            <c:strRef>
              <c:f>Sheet1!$B$1</c:f>
              <c:strCache>
                <c:ptCount val="1"/>
                <c:pt idx="0">
                  <c:v>2021年本年收入</c:v>
                </c:pt>
              </c:strCache>
            </c:strRef>
          </c:tx>
          <c:spPr>
            <a:solidFill>
              <a:srgbClr val="00B0F0"/>
            </a:solidFill>
            <a:ln w="3175">
              <a:solidFill>
                <a:schemeClr val="bg1">
                  <a:lumMod val="95000"/>
                </a:schemeClr>
              </a:solidFill>
            </a:ln>
          </c:spPr>
          <c:explosion val="0"/>
          <c:dPt>
            <c:idx val="0"/>
            <c:bubble3D val="0"/>
            <c:spPr>
              <a:solidFill>
                <a:srgbClr val="00B0F0"/>
              </a:solidFill>
              <a:ln w="3175">
                <a:solidFill>
                  <a:schemeClr val="bg1">
                    <a:lumMod val="95000"/>
                  </a:schemeClr>
                </a:solidFill>
              </a:ln>
              <a:effectLs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2">
                        <a:lumMod val="7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1370.99</c:v>
                </c:pt>
              </c:numCache>
            </c:numRef>
          </c:val>
        </c:ser>
        <c:dLbls>
          <c:showLegendKey val="0"/>
          <c:showVal val="1"/>
          <c:showCatName val="0"/>
          <c:showSerName val="0"/>
          <c:showPercent val="0"/>
          <c:showBubbleSize val="0"/>
          <c:showLeaderLines val="0"/>
        </c:dLbls>
        <c:firstSliceAng val="0"/>
      </c:pieChart>
      <c:spPr>
        <a:blipFill rotWithShape="1">
          <a:blip xmlns:r="http://schemas.openxmlformats.org/officeDocument/2006/relationships" r:embed="rId3"/>
          <a:stretch>
            <a:fillRect/>
          </a:stretch>
        </a:blipFill>
        <a:ln>
          <a:noFill/>
        </a:ln>
        <a:effectLst/>
      </c:spPr>
    </c:plotArea>
    <c:legend>
      <c:legendPos val="l"/>
      <c:layout>
        <c:manualLayout>
          <c:xMode val="edge"/>
          <c:yMode val="edge"/>
          <c:x val="0.0387905604719764"/>
          <c:y val="0.244441240548507"/>
          <c:w val="0.116666666666667"/>
          <c:h val="0.537037037037037"/>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8415278556041"/>
          <c:y val="0.189230103806228"/>
          <c:w val="0.432823505639325"/>
          <c:h val="0.698096389502181"/>
        </c:manualLayout>
      </c:layout>
      <c:pieChart>
        <c:varyColors val="1"/>
        <c:ser>
          <c:idx val="0"/>
          <c:order val="0"/>
          <c:tx>
            <c:strRef>
              <c:f>Sheet1!$B$1</c:f>
              <c:strCache>
                <c:ptCount val="1"/>
                <c:pt idx="0">
                  <c:v>2021年本年支出</c:v>
                </c:pt>
              </c:strCache>
            </c:strRef>
          </c:tx>
          <c:spPr>
            <a:solidFill>
              <a:srgbClr val="00B0F0"/>
            </a:solidFill>
            <a:ln w="3175">
              <a:solidFill>
                <a:srgbClr val="C0504D"/>
              </a:solidFill>
            </a:ln>
          </c:spPr>
          <c:explosion val="0"/>
          <c:dPt>
            <c:idx val="0"/>
            <c:bubble3D val="0"/>
            <c:spPr>
              <a:solidFill>
                <a:srgbClr val="00B0F0"/>
              </a:solidFill>
              <a:ln w="3175">
                <a:solidFill>
                  <a:srgbClr val="C0504D"/>
                </a:solidFill>
              </a:ln>
              <a:effectLst/>
            </c:spPr>
          </c:dPt>
          <c:dPt>
            <c:idx val="1"/>
            <c:bubble3D val="0"/>
            <c:spPr>
              <a:solidFill>
                <a:srgbClr val="C0504D"/>
              </a:solidFill>
              <a:ln w="3175">
                <a:solidFill>
                  <a:srgbClr val="C0504D"/>
                </a:solidFill>
              </a:ln>
              <a:effectLst/>
            </c:spPr>
          </c:dPt>
          <c:dLbls>
            <c:numFmt formatCode="0.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2">
                        <a:lumMod val="7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936.92</c:v>
                </c:pt>
                <c:pt idx="1">
                  <c:v>434.02</c:v>
                </c:pt>
              </c:numCache>
            </c:numRef>
          </c:val>
        </c:ser>
        <c:dLbls>
          <c:showLegendKey val="0"/>
          <c:showVal val="1"/>
          <c:showCatName val="0"/>
          <c:showSerName val="0"/>
          <c:showPercent val="0"/>
          <c:showBubbleSize val="0"/>
          <c:showLeaderLines val="0"/>
        </c:dLbls>
        <c:firstSliceAng val="0"/>
      </c:pieChart>
      <c:spPr>
        <a:blipFill rotWithShape="1">
          <a:blip xmlns:r="http://schemas.openxmlformats.org/officeDocument/2006/relationships" r:embed="rId3"/>
          <a:stretch>
            <a:fillRect/>
          </a:stretch>
        </a:blipFill>
        <a:ln>
          <a:noFill/>
        </a:ln>
        <a:effectLst/>
      </c:spPr>
    </c:plotArea>
    <c:legend>
      <c:legendPos val="l"/>
      <c:layout>
        <c:manualLayout>
          <c:xMode val="edge"/>
          <c:yMode val="edge"/>
          <c:x val="0.0387905604719764"/>
          <c:y val="0.244441240548507"/>
          <c:w val="0.116666666666667"/>
          <c:h val="0.537037037037037"/>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867.67</c:v>
                </c:pt>
                <c:pt idx="1">
                  <c:v>1370.99</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22633603"/>
        <c:axId val="358335508"/>
      </c:barChart>
      <c:catAx>
        <c:axId val="22633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335508"/>
        <c:crosses val="autoZero"/>
        <c:auto val="1"/>
        <c:lblAlgn val="ctr"/>
        <c:lblOffset val="100"/>
        <c:noMultiLvlLbl val="0"/>
      </c:catAx>
      <c:valAx>
        <c:axId val="3583355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336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867.67</c:v>
                </c:pt>
                <c:pt idx="1">
                  <c:v>1370.99</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2020</c:v>
                </c:pt>
                <c:pt idx="1">
                  <c:v>2021</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22633603"/>
        <c:axId val="358335508"/>
      </c:barChart>
      <c:catAx>
        <c:axId val="2263360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8335508"/>
        <c:crosses val="autoZero"/>
        <c:auto val="1"/>
        <c:lblAlgn val="ctr"/>
        <c:lblOffset val="100"/>
        <c:noMultiLvlLbl val="0"/>
      </c:catAx>
      <c:valAx>
        <c:axId val="3583355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336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415278556041"/>
          <c:y val="0.189230103806228"/>
          <c:w val="0.432823505639325"/>
          <c:h val="0.698096389502181"/>
        </c:manualLayout>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bg1"/>
              </a:solidFill>
              <a:ln w="19050">
                <a:solidFill>
                  <a:schemeClr val="lt1"/>
                </a:solidFill>
              </a:ln>
              <a:effectLst/>
            </c:spPr>
          </c:dPt>
          <c:dLbls>
            <c:dLbl>
              <c:idx val="0"/>
              <c:layout>
                <c:manualLayout>
                  <c:x val="-0.00152827305145186"/>
                  <c:y val="-0.034953577280174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0.3</a:t>
                    </a:r>
                    <a:r>
                      <a:rPr lang="en-US" altLang="zh-CN"/>
                      <a:t>5</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11818644931228"/>
                      <c:h val="0.0759148006553796"/>
                    </c:manualLayout>
                  </c15:layout>
                </c:ext>
              </c:extLst>
            </c:dLbl>
            <c:dLbl>
              <c:idx val="1"/>
              <c:layout>
                <c:manualLayout>
                  <c:x val="0.0411360163015792"/>
                  <c:y val="-0.0092845439650464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426642893530311"/>
                  <c:y val="0"/>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455934793683138"/>
                  <c:y val="0.03140360458765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043301069791136"/>
                  <c:y val="-0.040961223375204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教育支出</c:v>
                </c:pt>
                <c:pt idx="1">
                  <c:v>社会保障和就业支出</c:v>
                </c:pt>
                <c:pt idx="2">
                  <c:v>卫生健康支出</c:v>
                </c:pt>
                <c:pt idx="3">
                  <c:v>住房保障支出</c:v>
                </c:pt>
                <c:pt idx="4">
                  <c:v>灾害防治及应急管理支出</c:v>
                </c:pt>
              </c:strCache>
            </c:strRef>
          </c:cat>
          <c:val>
            <c:numRef>
              <c:f>Sheet1!$B$2:$B$8</c:f>
              <c:numCache>
                <c:formatCode>General</c:formatCode>
                <c:ptCount val="7"/>
                <c:pt idx="0">
                  <c:v>4.88</c:v>
                </c:pt>
                <c:pt idx="1">
                  <c:v>66.44</c:v>
                </c:pt>
                <c:pt idx="2">
                  <c:v>64.34</c:v>
                </c:pt>
                <c:pt idx="3">
                  <c:v>69.18</c:v>
                </c:pt>
                <c:pt idx="4">
                  <c:v>1166.11</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教育支出</c:v>
                </c:pt>
                <c:pt idx="1">
                  <c:v>社会保障和就业支出</c:v>
                </c:pt>
                <c:pt idx="2">
                  <c:v>卫生健康支出</c:v>
                </c:pt>
                <c:pt idx="3">
                  <c:v>住房保障支出</c:v>
                </c:pt>
                <c:pt idx="4">
                  <c:v>灾害防治及应急管理支出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5"/>
        <c:delete val="1"/>
      </c:legendEntry>
      <c:layout>
        <c:manualLayout>
          <c:xMode val="edge"/>
          <c:yMode val="edge"/>
          <c:x val="0.00382068262862965"/>
          <c:y val="0.10331702011963"/>
          <c:w val="0.121393161306724"/>
          <c:h val="0.9721093961548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8415278556041"/>
          <c:y val="0.189230103806228"/>
          <c:w val="0.432823505639325"/>
          <c:h val="0.698096389502181"/>
        </c:manualLayout>
      </c:layout>
      <c:pieChart>
        <c:varyColors val="1"/>
        <c:ser>
          <c:idx val="0"/>
          <c:order val="0"/>
          <c:tx>
            <c:strRef>
              <c:f>Sheet1!$B$1</c:f>
              <c:strCache>
                <c:ptCount val="1"/>
                <c:pt idx="0">
                  <c:v>2021支出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939887926642893"/>
                  <c:y val="0.02839978154014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292919001528273"/>
                  <c:y val="-0.0409612233752048"/>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087238920020377"/>
                      <c:h val="0.0759148006553796"/>
                    </c:manualLayout>
                  </c15:layout>
                </c:ext>
              </c:extLst>
            </c:dLbl>
            <c:dLbl>
              <c:idx val="2"/>
              <c:layout>
                <c:manualLayout>
                  <c:x val="0.0895313295975548"/>
                  <c:y val="0"/>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4</a:t>
                    </a:r>
                    <a:r>
                      <a:rPr lang="en-US" altLang="zh-CN"/>
                      <a:t>.05</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因公出国（境）费</c:v>
                </c:pt>
                <c:pt idx="1">
                  <c:v>公务用车购置及运行维护费支出</c:v>
                </c:pt>
                <c:pt idx="2">
                  <c:v>公务接待费支出</c:v>
                </c:pt>
              </c:strCache>
            </c:strRef>
          </c:cat>
          <c:val>
            <c:numRef>
              <c:f>Sheet1!$B$2:$B$6</c:f>
              <c:numCache>
                <c:formatCode>General</c:formatCode>
                <c:ptCount val="5"/>
                <c:pt idx="0">
                  <c:v>0</c:v>
                </c:pt>
                <c:pt idx="1">
                  <c:v>9.48</c:v>
                </c:pt>
                <c:pt idx="2">
                  <c:v>0.4</c:v>
                </c:pt>
              </c:numCache>
            </c:numRef>
          </c:val>
        </c:ser>
        <c:ser>
          <c:idx val="1"/>
          <c:order val="1"/>
          <c:tx>
            <c:strRef>
              <c:f>Sheet1!#REF!</c:f>
              <c:strCache>
                <c:ptCount val="1"/>
                <c:pt idx="0">
                  <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因公出国（境）费</c:v>
                </c:pt>
                <c:pt idx="1">
                  <c:v>公务用车购置及运行维护费支出</c:v>
                </c:pt>
                <c:pt idx="2">
                  <c:v>公务接待费支出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3"/>
        <c:delete val="1"/>
      </c:legendEntry>
      <c:legendEntry>
        <c:idx val="4"/>
        <c:delete val="1"/>
      </c:legendEntry>
      <c:layout>
        <c:manualLayout>
          <c:xMode val="edge"/>
          <c:yMode val="edge"/>
          <c:x val="0.00382068262862965"/>
          <c:y val="0.10331702011963"/>
          <c:w val="0.121393161306724"/>
          <c:h val="0.97210939615488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34</Pages>
  <Words>11062</Words>
  <Characters>11816</Characters>
  <Lines>61</Lines>
  <Paragraphs>17</Paragraphs>
  <TotalTime>3</TotalTime>
  <ScaleCrop>false</ScaleCrop>
  <LinksUpToDate>false</LinksUpToDate>
  <CharactersWithSpaces>11866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Victoria</cp:lastModifiedBy>
  <cp:lastPrinted>2022-09-07T11:57:00Z</cp:lastPrinted>
  <dcterms:modified xsi:type="dcterms:W3CDTF">2022-11-11T08:57:47Z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283102237BB44FC5A5F5DCF7CDB81957</vt:lpwstr>
  </property>
</Properties>
</file>