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val="en-US" w:eastAsia="zh-CN"/>
        </w:rPr>
      </w:pPr>
      <w:r>
        <w:rPr>
          <w:rFonts w:hint="eastAsia"/>
          <w:color w:val="auto"/>
          <w:lang w:val="en-US" w:eastAsia="zh-CN"/>
        </w:rPr>
        <w:t xml:space="preserve">         </w:t>
      </w:r>
    </w:p>
    <w:p>
      <w:pPr>
        <w:pStyle w:val="7"/>
        <w:rPr>
          <w:rFonts w:hint="eastAsia"/>
          <w:color w:val="auto"/>
          <w:lang w:val="en-US" w:eastAsia="zh-CN"/>
        </w:rPr>
      </w:pPr>
    </w:p>
    <w:p>
      <w:pPr>
        <w:pStyle w:val="7"/>
        <w:rPr>
          <w:rFonts w:hint="default"/>
          <w:color w:val="auto"/>
          <w:lang w:val="en-US" w:eastAsia="zh-CN"/>
        </w:rPr>
      </w:pPr>
      <w:r>
        <w:rPr>
          <w:rFonts w:hint="eastAsia"/>
          <w:color w:val="auto"/>
          <w:lang w:val="en-US" w:eastAsia="zh-CN"/>
        </w:rPr>
        <w:t xml:space="preserve">         </w:t>
      </w:r>
    </w:p>
    <w:p>
      <w:pPr>
        <w:pStyle w:val="16"/>
        <w:numPr>
          <w:ilvl w:val="0"/>
          <w:numId w:val="0"/>
        </w:numPr>
        <w:spacing w:line="600" w:lineRule="exact"/>
        <w:outlineLvl w:val="1"/>
        <w:rPr>
          <w:rFonts w:hint="eastAsia" w:ascii="黑体" w:hAnsi="黑体" w:eastAsia="黑体"/>
          <w:color w:val="auto"/>
          <w:sz w:val="32"/>
          <w:szCs w:val="32"/>
          <w:lang w:eastAsia="zh-CN"/>
        </w:rPr>
      </w:pPr>
      <w:bookmarkStart w:id="0" w:name="_Toc15377205"/>
      <w:bookmarkStart w:id="1" w:name="_Toc15396603"/>
    </w:p>
    <w:p>
      <w:pPr>
        <w:pStyle w:val="16"/>
        <w:numPr>
          <w:ilvl w:val="0"/>
          <w:numId w:val="0"/>
        </w:numPr>
        <w:spacing w:line="600" w:lineRule="exact"/>
        <w:outlineLvl w:val="1"/>
        <w:rPr>
          <w:rFonts w:hint="eastAsia" w:ascii="黑体" w:hAnsi="黑体" w:eastAsia="黑体"/>
          <w:color w:val="auto"/>
          <w:sz w:val="32"/>
          <w:szCs w:val="32"/>
          <w:lang w:eastAsia="zh-CN"/>
        </w:rPr>
      </w:pPr>
    </w:p>
    <w:p>
      <w:pPr>
        <w:pStyle w:val="16"/>
        <w:numPr>
          <w:ilvl w:val="0"/>
          <w:numId w:val="0"/>
        </w:numPr>
        <w:spacing w:line="600" w:lineRule="exact"/>
        <w:outlineLvl w:val="1"/>
        <w:rPr>
          <w:rFonts w:hint="eastAsia" w:ascii="黑体" w:hAnsi="黑体" w:eastAsia="黑体"/>
          <w:color w:val="auto"/>
          <w:sz w:val="32"/>
          <w:szCs w:val="32"/>
          <w:lang w:eastAsia="zh-CN"/>
        </w:rPr>
      </w:pPr>
    </w:p>
    <w:p>
      <w:pPr>
        <w:adjustRightInd w:val="0"/>
        <w:snapToGrid w:val="0"/>
        <w:spacing w:line="360" w:lineRule="auto"/>
        <w:jc w:val="center"/>
        <w:outlineLvl w:val="0"/>
        <w:rPr>
          <w:rFonts w:ascii="方正小标宋简体" w:hAnsi="宋体" w:eastAsia="方正小标宋简体"/>
          <w:b/>
          <w:bCs/>
          <w:color w:val="auto"/>
          <w:sz w:val="72"/>
          <w:szCs w:val="72"/>
        </w:rPr>
      </w:pPr>
      <w:bookmarkStart w:id="2" w:name="_Toc15377193"/>
      <w:bookmarkStart w:id="3" w:name="_Toc15396597"/>
      <w:bookmarkStart w:id="4" w:name="_Toc15377425"/>
      <w:bookmarkStart w:id="5" w:name="_Toc15378441"/>
      <w:bookmarkStart w:id="6" w:name="_Toc15396475"/>
      <w:r>
        <w:rPr>
          <w:rFonts w:ascii="黑体" w:hAnsi="黑体" w:eastAsia="黑体"/>
          <w:b/>
          <w:bCs/>
          <w:color w:val="auto"/>
          <w:sz w:val="72"/>
          <w:szCs w:val="72"/>
        </w:rPr>
        <w:t>20</w:t>
      </w:r>
      <w:r>
        <w:rPr>
          <w:rFonts w:hint="eastAsia" w:ascii="黑体" w:hAnsi="黑体" w:eastAsia="黑体"/>
          <w:b/>
          <w:bCs/>
          <w:color w:val="auto"/>
          <w:sz w:val="72"/>
          <w:szCs w:val="72"/>
          <w:lang w:val="en-US" w:eastAsia="zh-CN"/>
        </w:rPr>
        <w:t>20</w:t>
      </w:r>
      <w:r>
        <w:rPr>
          <w:rFonts w:hint="eastAsia" w:ascii="方正小标宋简体" w:hAnsi="宋体" w:eastAsia="方正小标宋简体"/>
          <w:b/>
          <w:bCs/>
          <w:color w:val="auto"/>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b/>
          <w:bCs/>
          <w:color w:val="auto"/>
          <w:sz w:val="72"/>
          <w:szCs w:val="72"/>
        </w:rPr>
      </w:pPr>
      <w:bookmarkStart w:id="7" w:name="_Toc15378442"/>
      <w:bookmarkStart w:id="8" w:name="_Toc15377194"/>
      <w:bookmarkStart w:id="9" w:name="_Toc15396598"/>
      <w:bookmarkStart w:id="10" w:name="_Toc15396476"/>
      <w:bookmarkStart w:id="11" w:name="_Toc15377426"/>
      <w:r>
        <w:rPr>
          <w:rFonts w:hint="eastAsia" w:ascii="方正小标宋简体" w:hAnsi="宋体" w:eastAsia="方正小标宋简体"/>
          <w:b/>
          <w:bCs/>
          <w:color w:val="auto"/>
          <w:sz w:val="72"/>
          <w:szCs w:val="72"/>
        </w:rPr>
        <w:t>四川省</w:t>
      </w:r>
      <w:bookmarkStart w:id="12" w:name="_Toc15306268"/>
      <w:r>
        <w:rPr>
          <w:rFonts w:hint="eastAsia" w:ascii="方正小标宋简体" w:hAnsi="宋体" w:eastAsia="方正小标宋简体"/>
          <w:b/>
          <w:bCs/>
          <w:color w:val="auto"/>
          <w:sz w:val="72"/>
          <w:szCs w:val="72"/>
          <w:lang w:eastAsia="zh-CN"/>
        </w:rPr>
        <w:t>应急保障管理中心</w:t>
      </w:r>
      <w:r>
        <w:rPr>
          <w:rFonts w:hint="eastAsia" w:ascii="方正小标宋简体" w:hAnsi="宋体" w:eastAsia="方正小标宋简体"/>
          <w:b/>
          <w:bCs/>
          <w:color w:val="auto"/>
          <w:sz w:val="72"/>
          <w:szCs w:val="72"/>
        </w:rPr>
        <w:t>部门决算</w:t>
      </w:r>
      <w:bookmarkEnd w:id="7"/>
      <w:bookmarkEnd w:id="8"/>
      <w:bookmarkEnd w:id="9"/>
      <w:bookmarkEnd w:id="10"/>
      <w:bookmarkEnd w:id="11"/>
      <w:bookmarkEnd w:id="12"/>
    </w:p>
    <w:p>
      <w:pPr>
        <w:pStyle w:val="16"/>
        <w:numPr>
          <w:ilvl w:val="0"/>
          <w:numId w:val="0"/>
        </w:numPr>
        <w:spacing w:line="600" w:lineRule="exact"/>
        <w:outlineLvl w:val="1"/>
        <w:rPr>
          <w:rFonts w:hint="eastAsia" w:ascii="黑体" w:hAnsi="黑体" w:eastAsia="黑体"/>
          <w:color w:val="auto"/>
          <w:sz w:val="32"/>
          <w:szCs w:val="32"/>
          <w:lang w:eastAsia="zh-CN"/>
        </w:rPr>
      </w:pPr>
    </w:p>
    <w:p>
      <w:pPr>
        <w:pStyle w:val="16"/>
        <w:numPr>
          <w:ilvl w:val="0"/>
          <w:numId w:val="0"/>
        </w:numPr>
        <w:spacing w:line="600" w:lineRule="exact"/>
        <w:outlineLvl w:val="1"/>
        <w:rPr>
          <w:rFonts w:hint="eastAsia" w:ascii="黑体" w:hAnsi="黑体" w:eastAsia="黑体"/>
          <w:color w:val="auto"/>
          <w:sz w:val="32"/>
          <w:szCs w:val="32"/>
          <w:lang w:eastAsia="zh-CN"/>
        </w:rPr>
      </w:pPr>
    </w:p>
    <w:p>
      <w:pPr>
        <w:pStyle w:val="16"/>
        <w:numPr>
          <w:ilvl w:val="0"/>
          <w:numId w:val="0"/>
        </w:numPr>
        <w:spacing w:line="600" w:lineRule="exact"/>
        <w:outlineLvl w:val="1"/>
        <w:rPr>
          <w:rFonts w:hint="eastAsia" w:ascii="黑体" w:hAnsi="黑体" w:eastAsia="黑体"/>
          <w:color w:val="auto"/>
          <w:sz w:val="32"/>
          <w:szCs w:val="32"/>
          <w:lang w:eastAsia="zh-CN"/>
        </w:rPr>
      </w:pPr>
    </w:p>
    <w:p>
      <w:pPr>
        <w:pStyle w:val="16"/>
        <w:numPr>
          <w:ilvl w:val="0"/>
          <w:numId w:val="0"/>
        </w:numPr>
        <w:spacing w:line="600" w:lineRule="exact"/>
        <w:outlineLvl w:val="1"/>
        <w:rPr>
          <w:rFonts w:hint="eastAsia" w:ascii="黑体" w:hAnsi="黑体" w:eastAsia="黑体"/>
          <w:color w:val="auto"/>
          <w:sz w:val="32"/>
          <w:szCs w:val="32"/>
          <w:lang w:eastAsia="zh-CN"/>
        </w:rPr>
      </w:pPr>
    </w:p>
    <w:p>
      <w:pPr>
        <w:pStyle w:val="16"/>
        <w:numPr>
          <w:ilvl w:val="0"/>
          <w:numId w:val="0"/>
        </w:numPr>
        <w:spacing w:line="600" w:lineRule="exact"/>
        <w:outlineLvl w:val="1"/>
        <w:rPr>
          <w:rFonts w:hint="eastAsia" w:ascii="黑体" w:hAnsi="黑体" w:eastAsia="黑体"/>
          <w:color w:val="auto"/>
          <w:sz w:val="32"/>
          <w:szCs w:val="32"/>
          <w:lang w:eastAsia="zh-CN"/>
        </w:rPr>
      </w:pPr>
    </w:p>
    <w:p>
      <w:pPr>
        <w:pStyle w:val="16"/>
        <w:numPr>
          <w:ilvl w:val="0"/>
          <w:numId w:val="0"/>
        </w:numPr>
        <w:spacing w:line="600" w:lineRule="exact"/>
        <w:outlineLvl w:val="1"/>
        <w:rPr>
          <w:rFonts w:hint="eastAsia" w:ascii="黑体" w:hAnsi="黑体" w:eastAsia="黑体"/>
          <w:color w:val="auto"/>
          <w:sz w:val="32"/>
          <w:szCs w:val="32"/>
          <w:lang w:eastAsia="zh-CN"/>
        </w:rPr>
      </w:pPr>
    </w:p>
    <w:p>
      <w:pPr>
        <w:pStyle w:val="16"/>
        <w:numPr>
          <w:ilvl w:val="0"/>
          <w:numId w:val="0"/>
        </w:numPr>
        <w:spacing w:line="600" w:lineRule="exact"/>
        <w:outlineLvl w:val="1"/>
        <w:rPr>
          <w:rFonts w:hint="eastAsia" w:ascii="黑体" w:hAnsi="黑体" w:eastAsia="黑体"/>
          <w:color w:val="auto"/>
          <w:sz w:val="32"/>
          <w:szCs w:val="32"/>
          <w:lang w:eastAsia="zh-CN"/>
        </w:rPr>
      </w:pPr>
    </w:p>
    <w:p>
      <w:pPr>
        <w:pStyle w:val="16"/>
        <w:numPr>
          <w:ilvl w:val="0"/>
          <w:numId w:val="0"/>
        </w:numPr>
        <w:spacing w:line="600" w:lineRule="exact"/>
        <w:outlineLvl w:val="1"/>
        <w:rPr>
          <w:rFonts w:hint="eastAsia" w:ascii="黑体" w:hAnsi="黑体" w:eastAsia="黑体"/>
          <w:color w:val="auto"/>
          <w:sz w:val="32"/>
          <w:szCs w:val="32"/>
          <w:lang w:eastAsia="zh-CN"/>
        </w:rPr>
      </w:pPr>
    </w:p>
    <w:p>
      <w:pPr>
        <w:pStyle w:val="16"/>
        <w:numPr>
          <w:ilvl w:val="0"/>
          <w:numId w:val="0"/>
        </w:numPr>
        <w:spacing w:line="600" w:lineRule="exact"/>
        <w:outlineLvl w:val="1"/>
        <w:rPr>
          <w:rFonts w:hint="eastAsia" w:ascii="黑体" w:hAnsi="黑体" w:eastAsia="黑体"/>
          <w:color w:val="auto"/>
          <w:sz w:val="32"/>
          <w:szCs w:val="32"/>
          <w:lang w:eastAsia="zh-CN"/>
        </w:rPr>
      </w:pPr>
    </w:p>
    <w:p>
      <w:pPr>
        <w:pStyle w:val="16"/>
        <w:numPr>
          <w:ilvl w:val="0"/>
          <w:numId w:val="0"/>
        </w:numPr>
        <w:spacing w:line="600" w:lineRule="exact"/>
        <w:outlineLvl w:val="1"/>
        <w:rPr>
          <w:rFonts w:hint="eastAsia" w:ascii="黑体" w:hAnsi="黑体" w:eastAsia="黑体"/>
          <w:color w:val="auto"/>
          <w:sz w:val="32"/>
          <w:szCs w:val="32"/>
          <w:lang w:eastAsia="zh-CN"/>
        </w:rPr>
        <w:sectPr>
          <w:pgSz w:w="11906" w:h="16838"/>
          <w:pgMar w:top="1440" w:right="1800" w:bottom="1440" w:left="1800" w:header="851" w:footer="992" w:gutter="0"/>
          <w:pgNumType w:fmt="decimal"/>
          <w:cols w:space="425" w:num="1"/>
          <w:docGrid w:type="lines" w:linePitch="312" w:charSpace="0"/>
        </w:sectPr>
      </w:pPr>
    </w:p>
    <w:p>
      <w:pPr>
        <w:widowControl/>
        <w:jc w:val="center"/>
        <w:rPr>
          <w:rFonts w:ascii="黑体" w:hAnsi="黑体" w:eastAsia="黑体"/>
          <w:color w:val="auto"/>
          <w:sz w:val="48"/>
          <w:szCs w:val="48"/>
        </w:rPr>
      </w:pPr>
      <w:r>
        <w:rPr>
          <w:rFonts w:hint="eastAsia" w:ascii="黑体" w:hAnsi="黑体" w:eastAsia="黑体"/>
          <w:color w:val="auto"/>
          <w:sz w:val="48"/>
          <w:szCs w:val="48"/>
        </w:rPr>
        <w:t>目录</w:t>
      </w:r>
    </w:p>
    <w:p>
      <w:pPr>
        <w:widowControl/>
        <w:jc w:val="center"/>
        <w:rPr>
          <w:rFonts w:ascii="黑体" w:hAnsi="黑体" w:eastAsia="黑体" w:cstheme="minorBidi"/>
          <w:color w:val="auto"/>
          <w:sz w:val="28"/>
          <w:szCs w:val="28"/>
        </w:rPr>
      </w:pPr>
    </w:p>
    <w:p>
      <w:pPr>
        <w:pStyle w:val="10"/>
        <w:rPr>
          <w:color w:val="auto"/>
        </w:rPr>
      </w:pPr>
      <w:r>
        <w:rPr>
          <w:rFonts w:hint="eastAsia"/>
          <w:color w:val="auto"/>
        </w:rPr>
        <w:t>公开时间：20</w:t>
      </w:r>
      <w:r>
        <w:rPr>
          <w:rFonts w:hint="eastAsia"/>
          <w:color w:val="auto"/>
          <w:lang w:val="en-US" w:eastAsia="zh-CN"/>
        </w:rPr>
        <w:t>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9</w:t>
      </w:r>
      <w:r>
        <w:rPr>
          <w:rFonts w:hint="eastAsia"/>
          <w:color w:val="auto"/>
        </w:rPr>
        <w:t>日</w:t>
      </w:r>
    </w:p>
    <w:p>
      <w:pPr>
        <w:rPr>
          <w:color w:val="auto"/>
        </w:rPr>
      </w:pPr>
    </w:p>
    <w:p>
      <w:pPr>
        <w:pStyle w:val="10"/>
        <w:adjustRightInd w:val="0"/>
        <w:snapToGrid w:val="0"/>
        <w:spacing w:before="0" w:line="440" w:lineRule="exact"/>
        <w:jc w:val="left"/>
        <w:rPr>
          <w:rFonts w:cstheme="minorBidi"/>
          <w:color w:val="auto"/>
          <w:sz w:val="24"/>
          <w:szCs w:val="24"/>
        </w:rPr>
      </w:pPr>
      <w:r>
        <w:rPr>
          <w:rFonts w:hint="eastAsia"/>
          <w:color w:val="auto"/>
          <w:sz w:val="24"/>
        </w:rPr>
        <w:t>第一部分</w:t>
      </w:r>
      <w:r>
        <w:rPr>
          <w:color w:val="auto"/>
          <w:sz w:val="24"/>
        </w:rPr>
        <w:t xml:space="preserve"> </w:t>
      </w:r>
      <w:r>
        <w:rPr>
          <w:rFonts w:hint="eastAsia"/>
          <w:color w:val="auto"/>
          <w:sz w:val="24"/>
          <w:lang w:eastAsia="zh-CN"/>
        </w:rPr>
        <w:t>单位</w:t>
      </w:r>
      <w:r>
        <w:rPr>
          <w:rFonts w:hint="eastAsia"/>
          <w:color w:val="auto"/>
          <w:sz w:val="24"/>
        </w:rPr>
        <w:t>概况</w:t>
      </w:r>
    </w:p>
    <w:p>
      <w:pPr>
        <w:pStyle w:val="11"/>
        <w:adjustRightInd w:val="0"/>
        <w:snapToGrid w:val="0"/>
        <w:spacing w:line="440" w:lineRule="exact"/>
        <w:jc w:val="left"/>
        <w:rPr>
          <w:rFonts w:hint="eastAsia" w:eastAsia="宋体"/>
          <w:color w:val="auto"/>
          <w:sz w:val="24"/>
          <w:lang w:eastAsia="zh-CN"/>
        </w:rPr>
      </w:pPr>
      <w:r>
        <w:rPr>
          <w:rFonts w:hint="eastAsia"/>
          <w:color w:val="auto"/>
          <w:sz w:val="24"/>
        </w:rPr>
        <w:t>一、职能</w:t>
      </w:r>
      <w:r>
        <w:rPr>
          <w:rFonts w:hint="eastAsia"/>
          <w:color w:val="auto"/>
          <w:sz w:val="24"/>
          <w:lang w:eastAsia="zh-CN"/>
        </w:rPr>
        <w:t>简介</w:t>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w:t>
      </w:r>
      <w:r>
        <w:rPr>
          <w:rFonts w:hint="eastAsia" w:asciiTheme="minorEastAsia" w:hAnsiTheme="minorEastAsia" w:eastAsiaTheme="minorEastAsia" w:cstheme="minorEastAsia"/>
          <w:color w:val="auto"/>
          <w:sz w:val="24"/>
          <w:lang w:val="en-US" w:eastAsia="zh-CN"/>
        </w:rPr>
        <w:t>2020年重点</w:t>
      </w:r>
      <w:r>
        <w:rPr>
          <w:rFonts w:hint="eastAsia" w:asciiTheme="minorEastAsia" w:hAnsiTheme="minorEastAsia" w:eastAsiaTheme="minorEastAsia" w:cstheme="minorEastAsia"/>
          <w:color w:val="auto"/>
          <w:sz w:val="24"/>
        </w:rPr>
        <w:t>工作</w:t>
      </w:r>
      <w:r>
        <w:rPr>
          <w:rFonts w:hint="eastAsia" w:asciiTheme="minorEastAsia" w:hAnsiTheme="minorEastAsia" w:eastAsiaTheme="minorEastAsia" w:cstheme="minorEastAsia"/>
          <w:color w:val="auto"/>
          <w:sz w:val="24"/>
          <w:lang w:eastAsia="zh-CN"/>
        </w:rPr>
        <w:t>完成情况</w:t>
      </w:r>
    </w:p>
    <w:p>
      <w:pPr>
        <w:pStyle w:val="11"/>
        <w:numPr>
          <w:ilvl w:val="0"/>
          <w:numId w:val="2"/>
        </w:numPr>
        <w:adjustRightInd w:val="0"/>
        <w:snapToGrid w:val="0"/>
        <w:spacing w:line="440" w:lineRule="exact"/>
        <w:jc w:val="left"/>
        <w:rPr>
          <w:rFonts w:hint="eastAsia"/>
          <w:color w:val="auto"/>
          <w:sz w:val="24"/>
        </w:rPr>
      </w:pPr>
      <w:r>
        <w:rPr>
          <w:rFonts w:hint="eastAsia"/>
          <w:color w:val="auto"/>
          <w:sz w:val="24"/>
          <w:lang w:val="en-US" w:eastAsia="zh-CN"/>
        </w:rPr>
        <w:t>机构设置情况</w:t>
      </w:r>
    </w:p>
    <w:p>
      <w:pPr>
        <w:pStyle w:val="11"/>
        <w:numPr>
          <w:numId w:val="0"/>
        </w:numPr>
        <w:adjustRightInd w:val="0"/>
        <w:snapToGrid w:val="0"/>
        <w:spacing w:line="440" w:lineRule="exact"/>
        <w:jc w:val="left"/>
        <w:rPr>
          <w:color w:val="auto"/>
          <w:sz w:val="24"/>
          <w:szCs w:val="24"/>
        </w:rPr>
      </w:pPr>
      <w:r>
        <w:rPr>
          <w:rFonts w:hint="eastAsia" w:ascii="仿宋" w:hAnsi="仿宋" w:eastAsia="仿宋" w:cs="Times New Roman"/>
          <w:color w:val="auto"/>
          <w:kern w:val="2"/>
          <w:sz w:val="24"/>
          <w:szCs w:val="28"/>
          <w:lang w:val="en-US" w:eastAsia="zh-CN" w:bidi="ar-SA"/>
        </w:rPr>
        <w:t>第二部分 2020年度部门决算情况说明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一、收入支出决算总体情况说明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二、收入决算情况说明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三、支出决算情况说明</w:t>
      </w:r>
      <w:bookmarkStart w:id="60" w:name="_GoBack"/>
      <w:bookmarkEnd w:id="60"/>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四、财政拨款收入支出决算总体情况说明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七、</w:t>
      </w:r>
      <w:r>
        <w:rPr>
          <w:color w:val="auto"/>
          <w:sz w:val="24"/>
        </w:rPr>
        <w:t>“</w:t>
      </w:r>
      <w:r>
        <w:rPr>
          <w:rFonts w:hint="eastAsia"/>
          <w:color w:val="auto"/>
          <w:sz w:val="24"/>
        </w:rPr>
        <w:t>三公”经费财政拨款支出决算情况说明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八、政府性基金预算支出决算情况说明</w:t>
      </w:r>
    </w:p>
    <w:p>
      <w:pPr>
        <w:pStyle w:val="11"/>
        <w:adjustRightInd w:val="0"/>
        <w:snapToGrid w:val="0"/>
        <w:spacing w:line="440" w:lineRule="exact"/>
        <w:jc w:val="left"/>
        <w:rPr>
          <w:rFonts w:hint="eastAsia"/>
          <w:color w:val="auto"/>
          <w:sz w:val="24"/>
        </w:rPr>
      </w:pPr>
      <w:r>
        <w:rPr>
          <w:rFonts w:hint="eastAsia"/>
          <w:color w:val="auto"/>
          <w:sz w:val="24"/>
        </w:rPr>
        <w:t>九、国有资本经营预算支出决算情况说明</w:t>
      </w:r>
    </w:p>
    <w:p>
      <w:pPr>
        <w:pStyle w:val="11"/>
        <w:adjustRightInd w:val="0"/>
        <w:snapToGrid w:val="0"/>
        <w:spacing w:line="440" w:lineRule="exact"/>
        <w:jc w:val="left"/>
        <w:rPr>
          <w:rFonts w:hint="eastAsia"/>
          <w:color w:val="auto"/>
          <w:sz w:val="24"/>
          <w:lang w:eastAsia="zh-CN"/>
        </w:rPr>
      </w:pPr>
      <w:r>
        <w:rPr>
          <w:rFonts w:hint="eastAsia"/>
          <w:color w:val="auto"/>
          <w:sz w:val="24"/>
        </w:rPr>
        <w:t>十、其他重要事项的情况说明</w:t>
      </w:r>
    </w:p>
    <w:p>
      <w:pPr>
        <w:pStyle w:val="10"/>
        <w:adjustRightInd w:val="0"/>
        <w:snapToGrid w:val="0"/>
        <w:spacing w:before="0" w:line="440" w:lineRule="exact"/>
        <w:jc w:val="left"/>
        <w:rPr>
          <w:rFonts w:cstheme="minorBidi"/>
          <w:color w:val="auto"/>
          <w:sz w:val="24"/>
          <w:szCs w:val="24"/>
        </w:rPr>
      </w:pPr>
      <w:r>
        <w:rPr>
          <w:rFonts w:hint="eastAsia"/>
          <w:color w:val="auto"/>
          <w:sz w:val="24"/>
        </w:rPr>
        <w:t>第三部分</w:t>
      </w:r>
      <w:r>
        <w:rPr>
          <w:color w:val="auto"/>
          <w:sz w:val="24"/>
        </w:rPr>
        <w:t xml:space="preserve"> </w:t>
      </w:r>
      <w:r>
        <w:rPr>
          <w:rFonts w:hint="eastAsia"/>
          <w:color w:val="auto"/>
          <w:sz w:val="24"/>
        </w:rPr>
        <w:t>名词解释</w:t>
      </w:r>
    </w:p>
    <w:p>
      <w:pPr>
        <w:pStyle w:val="10"/>
        <w:adjustRightInd w:val="0"/>
        <w:snapToGrid w:val="0"/>
        <w:spacing w:before="0" w:line="440" w:lineRule="exact"/>
        <w:jc w:val="left"/>
        <w:rPr>
          <w:rFonts w:cstheme="minorBidi"/>
          <w:color w:val="auto"/>
          <w:sz w:val="24"/>
          <w:szCs w:val="24"/>
        </w:rPr>
      </w:pPr>
      <w:r>
        <w:rPr>
          <w:rFonts w:hint="eastAsia"/>
          <w:color w:val="auto"/>
          <w:sz w:val="24"/>
        </w:rPr>
        <w:t>第四部分</w:t>
      </w:r>
      <w:r>
        <w:rPr>
          <w:color w:val="auto"/>
          <w:sz w:val="24"/>
        </w:rPr>
        <w:t xml:space="preserve"> </w:t>
      </w:r>
      <w:r>
        <w:rPr>
          <w:rFonts w:hint="eastAsia"/>
          <w:color w:val="auto"/>
          <w:sz w:val="24"/>
        </w:rPr>
        <w:t>附件</w:t>
      </w:r>
    </w:p>
    <w:p>
      <w:pPr>
        <w:pStyle w:val="10"/>
        <w:adjustRightInd w:val="0"/>
        <w:snapToGrid w:val="0"/>
        <w:spacing w:before="0" w:line="440" w:lineRule="exact"/>
        <w:jc w:val="left"/>
        <w:rPr>
          <w:rFonts w:cstheme="minorBidi"/>
          <w:color w:val="auto"/>
          <w:sz w:val="24"/>
          <w:szCs w:val="24"/>
        </w:rPr>
      </w:pPr>
      <w:r>
        <w:rPr>
          <w:rFonts w:hint="eastAsia"/>
          <w:color w:val="auto"/>
          <w:sz w:val="24"/>
        </w:rPr>
        <w:t>第五部分</w:t>
      </w:r>
      <w:r>
        <w:rPr>
          <w:color w:val="auto"/>
          <w:sz w:val="24"/>
        </w:rPr>
        <w:t xml:space="preserve"> </w:t>
      </w:r>
      <w:r>
        <w:rPr>
          <w:rFonts w:hint="eastAsia"/>
          <w:color w:val="auto"/>
          <w:sz w:val="24"/>
        </w:rPr>
        <w:t>附表</w:t>
      </w:r>
    </w:p>
    <w:p>
      <w:pPr>
        <w:pStyle w:val="11"/>
        <w:adjustRightInd w:val="0"/>
        <w:snapToGrid w:val="0"/>
        <w:spacing w:line="440" w:lineRule="exact"/>
        <w:jc w:val="left"/>
        <w:rPr>
          <w:rFonts w:hint="eastAsia"/>
          <w:color w:val="auto"/>
          <w:sz w:val="24"/>
        </w:rPr>
      </w:pPr>
      <w:r>
        <w:rPr>
          <w:rFonts w:hint="eastAsia"/>
          <w:color w:val="auto"/>
          <w:sz w:val="24"/>
        </w:rPr>
        <w:t>一、收入支出决算总表</w:t>
      </w:r>
    </w:p>
    <w:p>
      <w:pPr>
        <w:pStyle w:val="11"/>
        <w:adjustRightInd w:val="0"/>
        <w:snapToGrid w:val="0"/>
        <w:spacing w:line="440" w:lineRule="exact"/>
        <w:jc w:val="left"/>
        <w:rPr>
          <w:rFonts w:hint="eastAsia"/>
          <w:color w:val="auto"/>
          <w:sz w:val="24"/>
        </w:rPr>
      </w:pPr>
      <w:r>
        <w:rPr>
          <w:rFonts w:hint="eastAsia"/>
          <w:color w:val="auto"/>
          <w:sz w:val="24"/>
        </w:rPr>
        <w:t>二、收入决算表</w:t>
      </w:r>
    </w:p>
    <w:p>
      <w:pPr>
        <w:pStyle w:val="11"/>
        <w:adjustRightInd w:val="0"/>
        <w:snapToGrid w:val="0"/>
        <w:spacing w:line="440" w:lineRule="exact"/>
        <w:jc w:val="left"/>
        <w:rPr>
          <w:rFonts w:hint="eastAsia"/>
          <w:color w:val="auto"/>
          <w:sz w:val="24"/>
        </w:rPr>
      </w:pPr>
      <w:r>
        <w:rPr>
          <w:rFonts w:hint="eastAsia"/>
          <w:color w:val="auto"/>
          <w:sz w:val="24"/>
        </w:rPr>
        <w:t>三、支出决算表</w:t>
      </w:r>
    </w:p>
    <w:p>
      <w:pPr>
        <w:pStyle w:val="11"/>
        <w:adjustRightInd w:val="0"/>
        <w:snapToGrid w:val="0"/>
        <w:spacing w:line="440" w:lineRule="exact"/>
        <w:jc w:val="left"/>
        <w:rPr>
          <w:rFonts w:hint="eastAsia"/>
          <w:color w:val="auto"/>
          <w:sz w:val="24"/>
        </w:rPr>
      </w:pPr>
      <w:r>
        <w:rPr>
          <w:rFonts w:hint="eastAsia"/>
          <w:color w:val="auto"/>
          <w:sz w:val="24"/>
        </w:rPr>
        <w:t>四、财政拨款收入支出决算总表</w:t>
      </w:r>
    </w:p>
    <w:p>
      <w:pPr>
        <w:pStyle w:val="11"/>
        <w:adjustRightInd w:val="0"/>
        <w:snapToGrid w:val="0"/>
        <w:spacing w:line="440" w:lineRule="exact"/>
        <w:jc w:val="left"/>
        <w:rPr>
          <w:rFonts w:hint="eastAsia"/>
          <w:color w:val="auto"/>
          <w:sz w:val="24"/>
        </w:rPr>
      </w:pPr>
      <w:r>
        <w:rPr>
          <w:rFonts w:hint="eastAsia"/>
          <w:color w:val="auto"/>
          <w:sz w:val="24"/>
        </w:rPr>
        <w:t>五、财政拨款支出决算明细表</w:t>
      </w:r>
    </w:p>
    <w:p>
      <w:pPr>
        <w:pStyle w:val="11"/>
        <w:adjustRightInd w:val="0"/>
        <w:snapToGrid w:val="0"/>
        <w:spacing w:line="440" w:lineRule="exact"/>
        <w:jc w:val="left"/>
        <w:rPr>
          <w:rFonts w:hint="eastAsia"/>
          <w:color w:val="auto"/>
          <w:sz w:val="24"/>
        </w:rPr>
      </w:pPr>
      <w:r>
        <w:rPr>
          <w:rFonts w:hint="eastAsia"/>
          <w:color w:val="auto"/>
          <w:sz w:val="24"/>
        </w:rPr>
        <w:t>六、一般公共预算财政拨款支出决算表</w:t>
      </w:r>
    </w:p>
    <w:p>
      <w:pPr>
        <w:pStyle w:val="11"/>
        <w:adjustRightInd w:val="0"/>
        <w:snapToGrid w:val="0"/>
        <w:spacing w:line="440" w:lineRule="exact"/>
        <w:jc w:val="left"/>
        <w:rPr>
          <w:rFonts w:hint="eastAsia"/>
          <w:color w:val="auto"/>
          <w:sz w:val="24"/>
        </w:rPr>
      </w:pPr>
      <w:r>
        <w:rPr>
          <w:rFonts w:hint="eastAsia"/>
          <w:color w:val="auto"/>
          <w:sz w:val="24"/>
        </w:rPr>
        <w:t>七、一般公共预算财政拨款支出决算明细表</w:t>
      </w:r>
    </w:p>
    <w:p>
      <w:pPr>
        <w:pStyle w:val="11"/>
        <w:adjustRightInd w:val="0"/>
        <w:snapToGrid w:val="0"/>
        <w:spacing w:line="440" w:lineRule="exact"/>
        <w:jc w:val="left"/>
        <w:rPr>
          <w:rFonts w:hint="eastAsia"/>
          <w:color w:val="auto"/>
          <w:sz w:val="24"/>
        </w:rPr>
      </w:pPr>
      <w:r>
        <w:rPr>
          <w:rFonts w:hint="eastAsia"/>
          <w:color w:val="auto"/>
          <w:sz w:val="24"/>
        </w:rPr>
        <w:t>八、一般公共预算财政拨款基本支出决算表</w:t>
      </w:r>
    </w:p>
    <w:p>
      <w:pPr>
        <w:pStyle w:val="11"/>
        <w:adjustRightInd w:val="0"/>
        <w:snapToGrid w:val="0"/>
        <w:spacing w:line="440" w:lineRule="exact"/>
        <w:jc w:val="left"/>
        <w:rPr>
          <w:rFonts w:hint="eastAsia"/>
          <w:color w:val="auto"/>
          <w:sz w:val="24"/>
        </w:rPr>
      </w:pPr>
      <w:r>
        <w:rPr>
          <w:rFonts w:hint="eastAsia"/>
          <w:color w:val="auto"/>
          <w:sz w:val="24"/>
        </w:rPr>
        <w:t>九、一般公共预算财政拨款项目支出决算表</w:t>
      </w:r>
    </w:p>
    <w:p>
      <w:pPr>
        <w:pStyle w:val="11"/>
        <w:adjustRightInd w:val="0"/>
        <w:snapToGrid w:val="0"/>
        <w:spacing w:line="440" w:lineRule="exact"/>
        <w:jc w:val="left"/>
        <w:rPr>
          <w:rFonts w:hint="eastAsia"/>
          <w:color w:val="auto"/>
          <w:sz w:val="24"/>
        </w:rPr>
      </w:pPr>
      <w:r>
        <w:rPr>
          <w:rFonts w:hint="eastAsia"/>
          <w:color w:val="auto"/>
          <w:sz w:val="24"/>
        </w:rPr>
        <w:t>十、一般公共预算财政拨款“三公”经费支出决算表</w:t>
      </w:r>
    </w:p>
    <w:p>
      <w:pPr>
        <w:pStyle w:val="11"/>
        <w:adjustRightInd w:val="0"/>
        <w:snapToGrid w:val="0"/>
        <w:spacing w:line="440" w:lineRule="exact"/>
        <w:jc w:val="left"/>
        <w:rPr>
          <w:rFonts w:hint="eastAsia"/>
          <w:color w:val="auto"/>
          <w:sz w:val="24"/>
        </w:rPr>
      </w:pPr>
      <w:r>
        <w:rPr>
          <w:rFonts w:hint="eastAsia"/>
          <w:color w:val="auto"/>
          <w:sz w:val="24"/>
        </w:rPr>
        <w:t>十一、政府性基金预算财政拨款收入支出决算表</w:t>
      </w:r>
    </w:p>
    <w:p>
      <w:pPr>
        <w:pStyle w:val="11"/>
        <w:adjustRightInd w:val="0"/>
        <w:snapToGrid w:val="0"/>
        <w:spacing w:line="440" w:lineRule="exact"/>
        <w:jc w:val="left"/>
        <w:rPr>
          <w:rFonts w:hint="eastAsia"/>
          <w:color w:val="auto"/>
          <w:sz w:val="24"/>
        </w:rPr>
      </w:pPr>
      <w:r>
        <w:rPr>
          <w:rFonts w:hint="eastAsia"/>
          <w:color w:val="auto"/>
          <w:sz w:val="24"/>
        </w:rPr>
        <w:t>十二、政府性基金预算财政拨款“三公”经费支出决算表</w:t>
      </w:r>
    </w:p>
    <w:p>
      <w:pPr>
        <w:pStyle w:val="11"/>
        <w:adjustRightInd w:val="0"/>
        <w:snapToGrid w:val="0"/>
        <w:spacing w:line="440" w:lineRule="exact"/>
        <w:jc w:val="left"/>
        <w:rPr>
          <w:rFonts w:hint="eastAsia"/>
          <w:color w:val="auto"/>
          <w:sz w:val="24"/>
        </w:rPr>
      </w:pPr>
      <w:r>
        <w:rPr>
          <w:rFonts w:hint="eastAsia"/>
          <w:color w:val="auto"/>
          <w:sz w:val="24"/>
        </w:rPr>
        <w:t>十三、国有资本经营预算</w:t>
      </w:r>
      <w:r>
        <w:rPr>
          <w:rFonts w:hint="eastAsia"/>
          <w:color w:val="auto"/>
          <w:sz w:val="24"/>
          <w:lang w:eastAsia="zh-CN"/>
        </w:rPr>
        <w:t>财政拨款收入</w:t>
      </w:r>
      <w:r>
        <w:rPr>
          <w:rFonts w:hint="eastAsia"/>
          <w:color w:val="auto"/>
          <w:sz w:val="24"/>
        </w:rPr>
        <w:t>支出决算表</w:t>
      </w:r>
    </w:p>
    <w:p>
      <w:pPr>
        <w:pStyle w:val="11"/>
        <w:adjustRightInd w:val="0"/>
        <w:snapToGrid w:val="0"/>
        <w:spacing w:line="440" w:lineRule="exact"/>
        <w:jc w:val="left"/>
        <w:rPr>
          <w:rFonts w:hint="eastAsia"/>
          <w:color w:val="auto"/>
          <w:sz w:val="24"/>
          <w:lang w:val="en-US" w:eastAsia="zh-CN"/>
        </w:rPr>
      </w:pPr>
      <w:r>
        <w:rPr>
          <w:rFonts w:hint="eastAsia"/>
          <w:color w:val="auto"/>
          <w:sz w:val="24"/>
          <w:lang w:val="en-US" w:eastAsia="zh-CN"/>
        </w:rPr>
        <w:t>十四、国有资本经营预算财政拨款支出决算表</w:t>
      </w:r>
    </w:p>
    <w:p>
      <w:pPr>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7"/>
        <w:rPr>
          <w:rFonts w:hint="eastAsia"/>
          <w:color w:val="auto"/>
          <w:sz w:val="24"/>
          <w:lang w:val="en-US" w:eastAsia="zh-CN"/>
        </w:rPr>
      </w:pPr>
    </w:p>
    <w:p>
      <w:pPr>
        <w:pStyle w:val="5"/>
        <w:jc w:val="center"/>
        <w:rPr>
          <w:rFonts w:ascii="黑体" w:eastAsia="黑体"/>
          <w:color w:val="auto"/>
          <w:sz w:val="32"/>
          <w:szCs w:val="32"/>
        </w:rPr>
      </w:pPr>
      <w:r>
        <w:rPr>
          <w:rFonts w:hint="eastAsia" w:ascii="黑体" w:hAnsi="黑体" w:eastAsia="黑体"/>
          <w:b w:val="0"/>
          <w:color w:val="auto"/>
        </w:rPr>
        <w:t xml:space="preserve">第一部分 </w:t>
      </w:r>
      <w:r>
        <w:rPr>
          <w:rFonts w:hint="eastAsia" w:ascii="黑体" w:hAnsi="黑体" w:eastAsia="黑体"/>
          <w:b w:val="0"/>
          <w:color w:val="auto"/>
          <w:lang w:eastAsia="zh-CN"/>
        </w:rPr>
        <w:t>单位</w:t>
      </w:r>
      <w:r>
        <w:rPr>
          <w:rStyle w:val="15"/>
          <w:rFonts w:hint="eastAsia" w:ascii="黑体" w:hAnsi="黑体" w:eastAsia="黑体"/>
          <w:b w:val="0"/>
          <w:bCs w:val="0"/>
          <w:color w:val="auto"/>
        </w:rPr>
        <w:t>概况</w:t>
      </w:r>
    </w:p>
    <w:p>
      <w:pPr>
        <w:pStyle w:val="6"/>
        <w:snapToGrid w:val="0"/>
        <w:spacing w:before="260" w:after="260" w:line="415" w:lineRule="auto"/>
        <w:jc w:val="both"/>
        <w:rPr>
          <w:rFonts w:ascii="黑体" w:hAnsi="黑体" w:eastAsia="黑体"/>
          <w:sz w:val="32"/>
          <w:szCs w:val="32"/>
        </w:rPr>
      </w:pPr>
      <w:r>
        <w:rPr>
          <w:rFonts w:ascii="黑体" w:hAnsi="黑体" w:eastAsia="黑体"/>
          <w:sz w:val="32"/>
          <w:szCs w:val="32"/>
        </w:rPr>
        <w:t>一、职能简介</w:t>
      </w:r>
    </w:p>
    <w:p>
      <w:pPr>
        <w:snapToGrid w:val="0"/>
        <w:spacing w:before="0" w:after="0" w:line="580" w:lineRule="exact"/>
        <w:ind w:firstLineChars="200"/>
        <w:jc w:val="left"/>
        <w:rPr>
          <w:rFonts w:ascii="仿宋" w:hAnsi="仿宋" w:eastAsia="仿宋"/>
          <w:color w:val="000000"/>
          <w:sz w:val="32"/>
          <w:szCs w:val="32"/>
        </w:rPr>
      </w:pPr>
      <w:r>
        <w:rPr>
          <w:rFonts w:ascii="仿宋" w:hAnsi="仿宋" w:eastAsia="仿宋"/>
          <w:color w:val="000000"/>
          <w:sz w:val="32"/>
          <w:szCs w:val="32"/>
        </w:rPr>
        <w:t>保障中心是2018年机构改革后新组建的</w:t>
      </w:r>
      <w:r>
        <w:rPr>
          <w:rFonts w:hint="eastAsia" w:ascii="仿宋" w:hAnsi="仿宋" w:eastAsia="仿宋"/>
          <w:color w:val="000000"/>
          <w:sz w:val="32"/>
          <w:szCs w:val="32"/>
          <w:lang w:val="en-US" w:eastAsia="zh-CN"/>
        </w:rPr>
        <w:t>应急厅直属</w:t>
      </w:r>
      <w:r>
        <w:rPr>
          <w:rFonts w:ascii="仿宋" w:hAnsi="仿宋" w:eastAsia="仿宋"/>
          <w:color w:val="000000"/>
          <w:sz w:val="32"/>
          <w:szCs w:val="32"/>
        </w:rPr>
        <w:t>单位，核定编制60名，领导职数1正3副，主要承担承担安全生产类、自然灾害类等突发事件和防灾减灾救灾等相关综合服务保障职责</w:t>
      </w:r>
      <w:r>
        <w:rPr>
          <w:rFonts w:hint="eastAsia" w:ascii="仿宋" w:hAnsi="仿宋" w:eastAsia="仿宋"/>
          <w:color w:val="000000"/>
          <w:sz w:val="32"/>
          <w:szCs w:val="32"/>
          <w:lang w:val="en-US" w:eastAsia="zh-CN"/>
        </w:rPr>
        <w:t>,</w:t>
      </w:r>
      <w:r>
        <w:rPr>
          <w:rFonts w:ascii="仿宋" w:hAnsi="仿宋" w:eastAsia="仿宋"/>
          <w:color w:val="000000"/>
          <w:sz w:val="32"/>
          <w:szCs w:val="32"/>
        </w:rPr>
        <w:t>负责机关行政事务管理，组织协调机关办公用房、后勤保障、安全保卫、车辆等后勤服务保障职责。</w:t>
      </w:r>
    </w:p>
    <w:p>
      <w:pPr>
        <w:pStyle w:val="6"/>
        <w:snapToGrid w:val="0"/>
        <w:spacing w:before="260" w:after="260" w:line="415" w:lineRule="auto"/>
        <w:jc w:val="both"/>
        <w:rPr>
          <w:rFonts w:ascii="黑体" w:hAnsi="黑体" w:eastAsia="黑体"/>
          <w:sz w:val="32"/>
          <w:szCs w:val="32"/>
        </w:rPr>
      </w:pPr>
      <w:r>
        <w:rPr>
          <w:rFonts w:ascii="黑体" w:hAnsi="黑体" w:eastAsia="黑体"/>
          <w:sz w:val="32"/>
          <w:szCs w:val="32"/>
        </w:rPr>
        <w:t>二、2020年重点工作完成情况</w:t>
      </w:r>
    </w:p>
    <w:p>
      <w:pPr>
        <w:snapToGrid w:val="0"/>
        <w:spacing w:before="0" w:after="0" w:line="580" w:lineRule="exact"/>
        <w:ind w:firstLineChars="200"/>
        <w:jc w:val="both"/>
        <w:rPr>
          <w:rFonts w:ascii="仿宋" w:hAnsi="仿宋" w:eastAsia="仿宋"/>
          <w:color w:val="000000"/>
          <w:sz w:val="32"/>
          <w:szCs w:val="32"/>
        </w:rPr>
      </w:pPr>
      <w:r>
        <w:rPr>
          <w:rFonts w:ascii="楷体" w:hAnsi="楷体" w:eastAsia="楷体"/>
          <w:b/>
          <w:bCs/>
          <w:color w:val="000000"/>
          <w:sz w:val="32"/>
          <w:szCs w:val="32"/>
        </w:rPr>
        <w:t>（一）加强政治建设，强化理论武装。</w:t>
      </w:r>
      <w:r>
        <w:rPr>
          <w:rFonts w:ascii="仿宋" w:hAnsi="仿宋" w:eastAsia="仿宋"/>
          <w:color w:val="000000"/>
          <w:sz w:val="32"/>
          <w:szCs w:val="32"/>
        </w:rPr>
        <w:t>保障中心组建以来，以习近平新时代中国特色社会主义思想为主线，以党的十九大、十九届二中、三中、四中、五中全会精神为重点内容，组织“两会”精神、《习近平谈治国理政（第三卷）》、省委十一届七次全会精神、民法典、保密工作、意识形态工作、警示教育、巡视整改相关专题学习，邀请分管厅领导、机关党办、联系保障中心的机关党委委员等相关负责同志讲党课，支部书记讲党课</w:t>
      </w:r>
      <w:r>
        <w:rPr>
          <w:rFonts w:ascii="Times New Roman" w:hAnsi="Times New Roman" w:eastAsia="Times New Roman"/>
          <w:color w:val="000000"/>
          <w:sz w:val="32"/>
          <w:szCs w:val="32"/>
        </w:rPr>
        <w:t>1次</w:t>
      </w:r>
      <w:r>
        <w:rPr>
          <w:rFonts w:ascii="仿宋" w:hAnsi="仿宋" w:eastAsia="仿宋"/>
          <w:color w:val="000000"/>
          <w:sz w:val="32"/>
          <w:szCs w:val="32"/>
        </w:rPr>
        <w:t>、理论宣讲</w:t>
      </w:r>
      <w:r>
        <w:rPr>
          <w:rFonts w:ascii="Times New Roman" w:hAnsi="Times New Roman" w:eastAsia="Times New Roman"/>
          <w:color w:val="000000"/>
          <w:sz w:val="32"/>
          <w:szCs w:val="32"/>
        </w:rPr>
        <w:t>3次</w:t>
      </w:r>
      <w:r>
        <w:rPr>
          <w:rFonts w:ascii="仿宋" w:hAnsi="仿宋" w:eastAsia="仿宋"/>
          <w:color w:val="000000"/>
          <w:sz w:val="32"/>
          <w:szCs w:val="32"/>
        </w:rPr>
        <w:t>。2020年以来共开展集中学习</w:t>
      </w:r>
      <w:r>
        <w:rPr>
          <w:rFonts w:ascii="Times New Roman" w:hAnsi="Times New Roman" w:eastAsia="Times New Roman"/>
          <w:color w:val="000000"/>
          <w:sz w:val="32"/>
          <w:szCs w:val="32"/>
        </w:rPr>
        <w:t>14</w:t>
      </w:r>
      <w:r>
        <w:rPr>
          <w:rFonts w:ascii="仿宋" w:hAnsi="仿宋" w:eastAsia="仿宋"/>
          <w:color w:val="000000"/>
          <w:sz w:val="32"/>
          <w:szCs w:val="32"/>
        </w:rPr>
        <w:t>次，牢固树立干部职工政治理想，把握正确的政治方向，坚持政治底线思维，坚定站稳政治立场，严守政治纪律。认真落实谈心谈话制度，紧盯关键节点和关键岗位，实现了支部委员之间、书记与党员、支委委员与党员、党员之间、牵头负责人与配合人员谈心谈话的全覆盖。</w:t>
      </w:r>
    </w:p>
    <w:p>
      <w:pPr>
        <w:snapToGrid w:val="0"/>
        <w:spacing w:before="0" w:after="0" w:line="580" w:lineRule="exact"/>
        <w:ind w:firstLineChars="200"/>
        <w:jc w:val="both"/>
        <w:rPr>
          <w:rFonts w:ascii="Times New Roman" w:hAnsi="Times New Roman" w:eastAsia="Times New Roman"/>
          <w:color w:val="000000"/>
          <w:kern w:val="2"/>
          <w:sz w:val="32"/>
          <w:szCs w:val="32"/>
        </w:rPr>
      </w:pPr>
      <w:r>
        <w:rPr>
          <w:rFonts w:ascii="楷体" w:hAnsi="楷体" w:eastAsia="楷体"/>
          <w:b/>
          <w:bCs/>
          <w:color w:val="000000"/>
          <w:sz w:val="32"/>
          <w:szCs w:val="32"/>
        </w:rPr>
        <w:t>（二）加强队伍建设，凝聚智慧活力。</w:t>
      </w:r>
      <w:r>
        <w:rPr>
          <w:rFonts w:ascii="仿宋" w:hAnsi="仿宋" w:eastAsia="仿宋"/>
          <w:color w:val="000000"/>
          <w:kern w:val="2"/>
          <w:sz w:val="32"/>
          <w:szCs w:val="32"/>
        </w:rPr>
        <w:t>保障中心分别于2020年2月和7月成立了党支部和支委会，并严格落实党内政治生活，</w:t>
      </w:r>
      <w:r>
        <w:rPr>
          <w:rFonts w:ascii="Times New Roman" w:hAnsi="Times New Roman" w:eastAsia="Times New Roman"/>
          <w:color w:val="000000"/>
          <w:kern w:val="2"/>
          <w:sz w:val="32"/>
          <w:szCs w:val="32"/>
        </w:rPr>
        <w:t>2020年</w:t>
      </w:r>
      <w:r>
        <w:rPr>
          <w:rFonts w:ascii="仿宋" w:hAnsi="仿宋" w:eastAsia="仿宋"/>
          <w:color w:val="000000"/>
          <w:kern w:val="2"/>
          <w:sz w:val="32"/>
          <w:szCs w:val="32"/>
        </w:rPr>
        <w:t>召开党员大会16次，支委会</w:t>
      </w:r>
      <w:r>
        <w:rPr>
          <w:rFonts w:ascii="Times New Roman" w:hAnsi="Times New Roman" w:eastAsia="Times New Roman"/>
          <w:color w:val="000000"/>
          <w:kern w:val="2"/>
          <w:sz w:val="32"/>
          <w:szCs w:val="32"/>
        </w:rPr>
        <w:t>10</w:t>
      </w:r>
      <w:r>
        <w:rPr>
          <w:rFonts w:ascii="仿宋" w:hAnsi="仿宋" w:eastAsia="仿宋"/>
          <w:color w:val="000000"/>
          <w:kern w:val="2"/>
          <w:sz w:val="32"/>
          <w:szCs w:val="32"/>
        </w:rPr>
        <w:t>次，党课4次，组织生活会1次，民主评议党员1次，主题党日活动11次，完成了全年2次的帮扶任务。保障中心结合工作实际，积极开展应急管理综合保障业务实训3次，其中，2020年11月上旬组织全省市县两级负责应急后勤综合保障的业务骨干在都江堰市开展了为期一周的全省应急管理综合保障演训活动，系四川应急机构改革后的首次开展。演训采取“理论教学培训+实地现场培训+实战演练”的方式进行，</w:t>
      </w:r>
      <w:r>
        <w:rPr>
          <w:rFonts w:ascii="仿宋" w:hAnsi="仿宋" w:eastAsia="仿宋"/>
          <w:color w:val="000000"/>
          <w:sz w:val="32"/>
          <w:szCs w:val="32"/>
        </w:rPr>
        <w:t>邀请专家学者</w:t>
      </w:r>
      <w:r>
        <w:rPr>
          <w:rFonts w:ascii="仿宋" w:hAnsi="仿宋" w:eastAsia="仿宋"/>
          <w:color w:val="000000"/>
          <w:kern w:val="2"/>
          <w:sz w:val="32"/>
          <w:szCs w:val="32"/>
        </w:rPr>
        <w:t>为学员们讲解灾难、综合保障概述、应急战勤保障、应急接待等方面理论知识，对应急接待进行实战演练，拉动指挥方舱和战勤保障车辆（餐车）到实训地开展指挥部搭建、野外餐食保障演练，让学员们进入实训场地亲手操作。通过以练促战，以适应“全灾种、大应急”的时代任务，更加全面做好应急处置的综合保障工作。此外，保障中心积极选派干部参加省委党校、省机关事务管理局、厅机关组织的公务接待、公务用车管理、节能减排、保密、党务（纪检）、公文写作、新闻宣传等各类业务培训</w:t>
      </w:r>
      <w:r>
        <w:rPr>
          <w:rFonts w:ascii="Times New Roman" w:hAnsi="Times New Roman" w:eastAsia="Times New Roman"/>
          <w:color w:val="000000"/>
          <w:kern w:val="2"/>
          <w:sz w:val="32"/>
          <w:szCs w:val="32"/>
        </w:rPr>
        <w:t>30余人次，持续提升干部队伍的业务水平和综合素养。2020年，保障中心党支部获评厅机关党委表彰的先进党支部，2名党员干部获得先进个人称号（1名优秀党务工作者、1名优秀共产党员）。</w:t>
      </w:r>
    </w:p>
    <w:p>
      <w:pPr>
        <w:snapToGrid w:val="0"/>
        <w:spacing w:before="0" w:after="0" w:line="580" w:lineRule="exact"/>
        <w:ind w:firstLineChars="200"/>
        <w:jc w:val="both"/>
        <w:rPr>
          <w:rFonts w:ascii="仿宋" w:hAnsi="仿宋" w:eastAsia="仿宋"/>
          <w:color w:val="000000"/>
          <w:sz w:val="32"/>
          <w:szCs w:val="32"/>
        </w:rPr>
      </w:pPr>
      <w:r>
        <w:rPr>
          <w:rFonts w:ascii="楷体" w:hAnsi="楷体" w:eastAsia="楷体"/>
          <w:b/>
          <w:bCs/>
          <w:color w:val="000000"/>
          <w:kern w:val="2"/>
          <w:sz w:val="32"/>
          <w:szCs w:val="32"/>
        </w:rPr>
        <w:t>（三）加强业务建设，提升保障能力。</w:t>
      </w:r>
      <w:r>
        <w:rPr>
          <w:rFonts w:ascii="仿宋" w:hAnsi="仿宋" w:eastAsia="仿宋"/>
          <w:b/>
          <w:bCs/>
          <w:color w:val="000000"/>
          <w:sz w:val="32"/>
          <w:szCs w:val="32"/>
        </w:rPr>
        <w:t>加强</w:t>
      </w:r>
      <w:r>
        <w:rPr>
          <w:rFonts w:ascii="仿宋" w:hAnsi="仿宋" w:eastAsia="仿宋"/>
          <w:color w:val="000000"/>
          <w:sz w:val="32"/>
          <w:szCs w:val="32"/>
        </w:rPr>
        <w:t>保洁服务、绿化养护、电梯管理、综合维修、布类洗涤、设备维护、食堂服务、安保工作等管理，切实抓好食材把关、接待服务、车辆运行、节能减排、办公用房管理等工作。</w:t>
      </w:r>
      <w:r>
        <w:rPr>
          <w:rFonts w:ascii="仿宋" w:hAnsi="仿宋" w:eastAsia="仿宋"/>
          <w:b/>
          <w:bCs/>
          <w:color w:val="000000"/>
          <w:sz w:val="32"/>
          <w:szCs w:val="32"/>
        </w:rPr>
        <w:t>在办公用房管理方面</w:t>
      </w:r>
      <w:r>
        <w:rPr>
          <w:rFonts w:ascii="仿宋" w:hAnsi="仿宋" w:eastAsia="仿宋"/>
          <w:color w:val="000000"/>
          <w:sz w:val="32"/>
          <w:szCs w:val="32"/>
        </w:rPr>
        <w:t>，细化完善了1-8楼楼层平面图和使用清单，积极对接协调解决办公用房紧张问题。</w:t>
      </w:r>
      <w:r>
        <w:rPr>
          <w:rFonts w:ascii="仿宋" w:hAnsi="仿宋" w:eastAsia="仿宋"/>
          <w:b/>
          <w:bCs/>
          <w:color w:val="000000"/>
          <w:sz w:val="32"/>
          <w:szCs w:val="32"/>
        </w:rPr>
        <w:t>在食堂服务管理方面。</w:t>
      </w:r>
      <w:r>
        <w:rPr>
          <w:rFonts w:ascii="仿宋" w:hAnsi="仿宋" w:eastAsia="仿宋"/>
          <w:color w:val="000000"/>
          <w:sz w:val="32"/>
          <w:szCs w:val="32"/>
        </w:rPr>
        <w:t>对机关食堂进行精细化管理，开展</w:t>
      </w:r>
      <w:r>
        <w:rPr>
          <w:rFonts w:ascii="仿宋" w:hAnsi="仿宋" w:eastAsia="仿宋"/>
          <w:color w:val="000000"/>
          <w:kern w:val="0"/>
          <w:sz w:val="32"/>
          <w:szCs w:val="32"/>
        </w:rPr>
        <w:t>例行检查，</w:t>
      </w:r>
      <w:r>
        <w:rPr>
          <w:rFonts w:ascii="仿宋" w:hAnsi="仿宋" w:eastAsia="仿宋"/>
          <w:color w:val="000000"/>
          <w:sz w:val="32"/>
          <w:szCs w:val="32"/>
        </w:rPr>
        <w:t>强化了食品全链条溯源管理和安全把控</w:t>
      </w:r>
      <w:r>
        <w:rPr>
          <w:rFonts w:ascii="仿宋" w:hAnsi="仿宋" w:eastAsia="仿宋"/>
          <w:color w:val="000000"/>
          <w:kern w:val="0"/>
          <w:sz w:val="32"/>
          <w:szCs w:val="32"/>
        </w:rPr>
        <w:t>。</w:t>
      </w:r>
      <w:r>
        <w:rPr>
          <w:rFonts w:ascii="仿宋" w:hAnsi="仿宋" w:eastAsia="仿宋"/>
          <w:color w:val="000000"/>
          <w:sz w:val="32"/>
          <w:szCs w:val="32"/>
        </w:rPr>
        <w:t>每周</w:t>
      </w:r>
      <w:r>
        <w:rPr>
          <w:rFonts w:ascii="仿宋" w:hAnsi="仿宋" w:eastAsia="仿宋"/>
          <w:color w:val="000000"/>
          <w:kern w:val="0"/>
          <w:sz w:val="32"/>
          <w:szCs w:val="32"/>
        </w:rPr>
        <w:t>制定食谱，落实订餐人数日报告制度，菜品搭配更加丰富合理。</w:t>
      </w:r>
      <w:r>
        <w:rPr>
          <w:rFonts w:ascii="仿宋" w:hAnsi="仿宋" w:eastAsia="仿宋"/>
          <w:b/>
          <w:bCs/>
          <w:color w:val="000000"/>
          <w:kern w:val="0"/>
          <w:sz w:val="32"/>
          <w:szCs w:val="32"/>
        </w:rPr>
        <w:t>在公务用车管理方面，</w:t>
      </w:r>
      <w:r>
        <w:rPr>
          <w:rFonts w:ascii="仿宋" w:hAnsi="仿宋" w:eastAsia="仿宋"/>
          <w:color w:val="000000"/>
          <w:kern w:val="0"/>
          <w:sz w:val="32"/>
          <w:szCs w:val="32"/>
        </w:rPr>
        <w:t>严格落实公务用车编制、配备、使用和监督管理要求，完成了直属事</w:t>
      </w:r>
      <w:r>
        <w:rPr>
          <w:rFonts w:ascii="仿宋" w:hAnsi="仿宋" w:eastAsia="仿宋"/>
          <w:color w:val="000000"/>
          <w:sz w:val="32"/>
          <w:szCs w:val="32"/>
        </w:rPr>
        <w:t>业单位公务用车改革工作，</w:t>
      </w:r>
      <w:r>
        <w:rPr>
          <w:rFonts w:ascii="仿宋" w:hAnsi="仿宋" w:eastAsia="仿宋"/>
          <w:color w:val="000000"/>
          <w:kern w:val="0"/>
          <w:sz w:val="32"/>
          <w:szCs w:val="32"/>
        </w:rPr>
        <w:t>强化公车科学调度，全力保障安全监管、应急出动、专项整治等工作用车任务</w:t>
      </w:r>
      <w:r>
        <w:rPr>
          <w:rFonts w:ascii="仿宋" w:hAnsi="仿宋" w:eastAsia="仿宋"/>
          <w:color w:val="000000"/>
          <w:sz w:val="32"/>
          <w:szCs w:val="32"/>
        </w:rPr>
        <w:t>，</w:t>
      </w:r>
      <w:r>
        <w:rPr>
          <w:rFonts w:ascii="仿宋" w:hAnsi="仿宋" w:eastAsia="仿宋"/>
          <w:color w:val="000000"/>
          <w:kern w:val="0"/>
          <w:sz w:val="32"/>
          <w:szCs w:val="32"/>
        </w:rPr>
        <w:t>提高了应急出动公务用车保障水平。</w:t>
      </w:r>
      <w:r>
        <w:rPr>
          <w:rFonts w:ascii="仿宋" w:hAnsi="仿宋" w:eastAsia="仿宋"/>
          <w:b/>
          <w:bCs/>
          <w:color w:val="000000"/>
          <w:kern w:val="0"/>
          <w:sz w:val="32"/>
          <w:szCs w:val="32"/>
        </w:rPr>
        <w:t>在推进节约型机关创建方面，</w:t>
      </w:r>
      <w:r>
        <w:rPr>
          <w:rFonts w:ascii="仿宋" w:hAnsi="仿宋" w:eastAsia="仿宋"/>
          <w:color w:val="000000"/>
          <w:kern w:val="2"/>
          <w:sz w:val="32"/>
          <w:szCs w:val="32"/>
        </w:rPr>
        <w:t>制定应急厅节约型机关创建方案，实施绿化喷淋改造等7项节能技改项目，</w:t>
      </w:r>
      <w:r>
        <w:rPr>
          <w:rFonts w:ascii="仿宋" w:hAnsi="仿宋" w:eastAsia="仿宋"/>
          <w:color w:val="000000"/>
          <w:sz w:val="32"/>
          <w:szCs w:val="32"/>
        </w:rPr>
        <w:t>去年我厅实现人均综合能耗下降4%，人均水耗下降17%</w:t>
      </w:r>
      <w:r>
        <w:rPr>
          <w:rFonts w:ascii="仿宋" w:hAnsi="仿宋" w:eastAsia="仿宋"/>
          <w:color w:val="000000"/>
          <w:kern w:val="2"/>
          <w:sz w:val="32"/>
          <w:szCs w:val="32"/>
        </w:rPr>
        <w:t>，节能成效明显。厅机关及直属事业单位均完成生活垃圾分类工作，</w:t>
      </w:r>
      <w:r>
        <w:rPr>
          <w:rFonts w:ascii="仿宋" w:hAnsi="仿宋" w:eastAsia="仿宋"/>
          <w:color w:val="000000"/>
          <w:sz w:val="32"/>
          <w:szCs w:val="32"/>
        </w:rPr>
        <w:t>应急厅被评为“2020年度省级公共机构节水型单位”。</w:t>
      </w:r>
      <w:r>
        <w:rPr>
          <w:rFonts w:ascii="仿宋" w:hAnsi="仿宋" w:eastAsia="仿宋"/>
          <w:b/>
          <w:bCs/>
          <w:color w:val="000000"/>
          <w:kern w:val="0"/>
          <w:sz w:val="32"/>
          <w:szCs w:val="32"/>
        </w:rPr>
        <w:t>在公务接待服务保障方面，</w:t>
      </w:r>
      <w:r>
        <w:rPr>
          <w:rFonts w:ascii="仿宋" w:hAnsi="仿宋" w:eastAsia="仿宋"/>
          <w:color w:val="000000"/>
          <w:sz w:val="32"/>
          <w:szCs w:val="32"/>
        </w:rPr>
        <w:t>严格执行公务接待相关规定，贴心用心服务，</w:t>
      </w:r>
      <w:r>
        <w:rPr>
          <w:rFonts w:ascii="仿宋" w:hAnsi="仿宋" w:eastAsia="仿宋"/>
          <w:color w:val="000000"/>
          <w:kern w:val="2"/>
          <w:sz w:val="32"/>
          <w:szCs w:val="32"/>
        </w:rPr>
        <w:t>顺利完成</w:t>
      </w:r>
      <w:r>
        <w:rPr>
          <w:rFonts w:ascii="仿宋" w:hAnsi="仿宋" w:eastAsia="仿宋"/>
          <w:color w:val="000000"/>
          <w:sz w:val="32"/>
          <w:szCs w:val="32"/>
        </w:rPr>
        <w:t>各项</w:t>
      </w:r>
      <w:r>
        <w:rPr>
          <w:rFonts w:ascii="仿宋" w:hAnsi="仿宋" w:eastAsia="仿宋"/>
          <w:color w:val="000000"/>
          <w:kern w:val="2"/>
          <w:sz w:val="32"/>
          <w:szCs w:val="32"/>
        </w:rPr>
        <w:t>接待保障任务，并协助处（室、中心）做好了多批次公务接待。及时总结工作经验教训，形成了《四川省应急管理保障中心公务接待工作指南》。</w:t>
      </w:r>
      <w:r>
        <w:rPr>
          <w:rFonts w:ascii="仿宋" w:hAnsi="仿宋" w:eastAsia="仿宋"/>
          <w:b/>
          <w:bCs/>
          <w:color w:val="000000"/>
          <w:kern w:val="0"/>
          <w:sz w:val="32"/>
          <w:szCs w:val="32"/>
        </w:rPr>
        <w:t>在应急战勤保障方面，会同</w:t>
      </w:r>
      <w:r>
        <w:rPr>
          <w:rFonts w:ascii="仿宋" w:hAnsi="仿宋" w:eastAsia="仿宋"/>
          <w:color w:val="000000"/>
          <w:sz w:val="32"/>
          <w:szCs w:val="32"/>
        </w:rPr>
        <w:t>应急指挥中心常年值守，完成全勤指挥部日常保障任务，全面完成木里县项脚乡“3.28”和西昌市经久乡“3.30”森林火灾、“6.27”冕宁县暴雨灾害应急响应期间前后方阵地后勤保障服务工作。成功完成“3.12”地震演练、“6.24”重大洪涝灾害应急救援桌面演练等演练工作等。</w:t>
      </w:r>
    </w:p>
    <w:p>
      <w:pPr>
        <w:snapToGrid w:val="0"/>
        <w:spacing w:before="0" w:after="0" w:line="580" w:lineRule="exact"/>
        <w:ind w:firstLineChars="200"/>
        <w:jc w:val="both"/>
        <w:rPr>
          <w:rFonts w:ascii="仿宋" w:hAnsi="仿宋" w:eastAsia="仿宋"/>
          <w:color w:val="000000"/>
          <w:kern w:val="2"/>
          <w:sz w:val="32"/>
          <w:szCs w:val="32"/>
        </w:rPr>
      </w:pPr>
      <w:r>
        <w:rPr>
          <w:rFonts w:ascii="楷体" w:hAnsi="楷体" w:eastAsia="楷体"/>
          <w:b/>
          <w:bCs/>
          <w:color w:val="000000"/>
          <w:sz w:val="32"/>
          <w:szCs w:val="32"/>
        </w:rPr>
        <w:t>（四）加强机制建设，强化内部管理。</w:t>
      </w:r>
      <w:r>
        <w:rPr>
          <w:rFonts w:ascii="仿宋" w:hAnsi="仿宋" w:eastAsia="仿宋"/>
          <w:b/>
          <w:bCs/>
          <w:color w:val="000000"/>
          <w:sz w:val="32"/>
          <w:szCs w:val="32"/>
        </w:rPr>
        <w:t>在承担的业务管理方面，</w:t>
      </w:r>
      <w:r>
        <w:rPr>
          <w:rFonts w:ascii="仿宋" w:hAnsi="仿宋" w:eastAsia="仿宋"/>
          <w:color w:val="000000"/>
          <w:sz w:val="32"/>
          <w:szCs w:val="32"/>
        </w:rPr>
        <w:t>起草《四川省应急管理厅机关驾驶员和车辆管理制度》《四川省应急管理厅备勤室管理办法》《四川省应急管理厅2020年节约能源资源工作计划》《四川省应急管理厅节约型机关创建实施方案》等制度规范，提高了机关日常事务管理水平。</w:t>
      </w:r>
      <w:r>
        <w:rPr>
          <w:rFonts w:ascii="仿宋" w:hAnsi="仿宋" w:eastAsia="仿宋"/>
          <w:b/>
          <w:bCs/>
          <w:color w:val="000000"/>
          <w:sz w:val="32"/>
          <w:szCs w:val="32"/>
        </w:rPr>
        <w:t>在战勤综合服务保障方面，</w:t>
      </w:r>
      <w:r>
        <w:rPr>
          <w:rFonts w:ascii="仿宋" w:hAnsi="仿宋" w:eastAsia="仿宋"/>
          <w:color w:val="000000"/>
          <w:sz w:val="32"/>
          <w:szCs w:val="32"/>
        </w:rPr>
        <w:t>结合实际编制《四川省应急管理保障中心应急突发事件后勤保障责任与编成》，细化前方指挥部后勤保障工作2大板块13个要点，落实保障中心、物业、车队三大领域</w:t>
      </w:r>
      <w:r>
        <w:rPr>
          <w:rFonts w:hint="eastAsia" w:ascii="仿宋" w:hAnsi="仿宋" w:eastAsia="仿宋"/>
          <w:color w:val="000000"/>
          <w:sz w:val="32"/>
          <w:szCs w:val="32"/>
          <w:lang w:val="en-US" w:eastAsia="zh-CN"/>
        </w:rPr>
        <w:t>所有</w:t>
      </w:r>
      <w:r>
        <w:rPr>
          <w:rFonts w:ascii="仿宋" w:hAnsi="仿宋" w:eastAsia="仿宋"/>
          <w:color w:val="000000"/>
          <w:sz w:val="32"/>
          <w:szCs w:val="32"/>
        </w:rPr>
        <w:t>人责任分工，建立前后指挥部“人员+车辆+物资+服务”无缝链接的“实战化、全要素、全保障”工作链条，打造应急处置反应迅速、服务保障优质高效的应急保障服务团队。</w:t>
      </w:r>
      <w:r>
        <w:rPr>
          <w:rFonts w:ascii="仿宋" w:hAnsi="仿宋" w:eastAsia="仿宋"/>
          <w:b/>
          <w:bCs/>
          <w:color w:val="000000"/>
          <w:sz w:val="32"/>
          <w:szCs w:val="32"/>
        </w:rPr>
        <w:t>在保障中心内部管理方面，</w:t>
      </w:r>
      <w:r>
        <w:rPr>
          <w:rFonts w:ascii="仿宋" w:hAnsi="仿宋" w:eastAsia="仿宋"/>
          <w:color w:val="000000"/>
          <w:kern w:val="2"/>
          <w:sz w:val="32"/>
          <w:szCs w:val="32"/>
        </w:rPr>
        <w:t>建立健全保障中心党建和党风廉政建设制度、公务接待工作指南、行为规范、保障中心内部控制制度等4大类共30项内部工作规范和管理制度，重点规范了文件收发、登记、传阅、办理、督办、归档等一系列文件流转程序，规范了住宿、餐叙、接送、车辆、物资保障等接待的操作步骤，规范了会务筹备、记录、资料归档以及会议议定事项的督办落实，以及信息上传下达、保密、信访、印鉴管理、法人事项管理、档案管理、财务管理等内部日常事务性工作，进一步提升了保障中心日常运转的效率和规范性。</w:t>
      </w:r>
    </w:p>
    <w:p>
      <w:pPr>
        <w:snapToGrid w:val="0"/>
        <w:spacing w:before="0" w:after="0" w:line="580" w:lineRule="exact"/>
        <w:ind w:firstLineChars="200"/>
        <w:jc w:val="both"/>
        <w:rPr>
          <w:rFonts w:ascii="仿宋" w:hAnsi="仿宋" w:eastAsia="仿宋"/>
          <w:color w:val="000000"/>
          <w:sz w:val="32"/>
          <w:szCs w:val="32"/>
        </w:rPr>
      </w:pPr>
      <w:r>
        <w:rPr>
          <w:rFonts w:ascii="楷体" w:hAnsi="楷体" w:eastAsia="楷体"/>
          <w:b/>
          <w:bCs/>
          <w:color w:val="000000"/>
          <w:sz w:val="32"/>
          <w:szCs w:val="32"/>
        </w:rPr>
        <w:t>（五）加强疫情防控，筑牢内控防线。</w:t>
      </w:r>
      <w:r>
        <w:rPr>
          <w:rFonts w:ascii="仿宋" w:hAnsi="仿宋" w:eastAsia="仿宋"/>
          <w:color w:val="000000"/>
          <w:kern w:val="2"/>
          <w:sz w:val="32"/>
          <w:szCs w:val="32"/>
        </w:rPr>
        <w:t>在厅疫情内控领导小组的领导下，制作疫情防控一图清，拟定4大方面24条“最严格”的应对措施，梳理制定“责任清单、检查清单、问题清单”三大类清单，落实重点检查点位62处。统筹联合物业、各处（室、中心）力量，加强了出入人员车辆管理、公共区域管理、人员内部管理、食堂安全卫生管理、常态化疫情防控管理，紧盯安保、食堂、电梯、会议室、空调、防疫物资等关键细节，织牢织密机关疫情内控全覆盖细网。严格落实党中央、国务院、国家应急部、省委省政府关于秋冬疫情防控的相关工作要求和指导意见，结合我厅实际制定秋冬应对新冠肺炎应急预案，做好了防疫物资的储备充实。完成全厅干部职工进出大院健康信息收集、新风系统中央空调用前全覆盖消</w:t>
      </w:r>
      <w:r>
        <w:rPr>
          <w:rFonts w:ascii="仿宋" w:hAnsi="仿宋" w:eastAsia="仿宋"/>
          <w:color w:val="000000"/>
          <w:sz w:val="32"/>
          <w:szCs w:val="32"/>
        </w:rPr>
        <w:t>杀、每日分批次堂食等疫情防控关键动作。</w:t>
      </w:r>
    </w:p>
    <w:p>
      <w:pPr>
        <w:snapToGrid w:val="0"/>
        <w:spacing w:before="0" w:after="0" w:line="580" w:lineRule="exact"/>
        <w:ind w:firstLine="420"/>
        <w:jc w:val="both"/>
        <w:rPr>
          <w:rFonts w:ascii="仿宋" w:hAnsi="仿宋" w:eastAsia="仿宋"/>
          <w:color w:val="000000"/>
          <w:kern w:val="2"/>
          <w:sz w:val="32"/>
          <w:szCs w:val="32"/>
        </w:rPr>
      </w:pPr>
      <w:r>
        <w:rPr>
          <w:rFonts w:ascii="楷体" w:hAnsi="楷体" w:eastAsia="楷体"/>
          <w:b/>
          <w:bCs/>
          <w:color w:val="000000"/>
          <w:kern w:val="2"/>
          <w:sz w:val="32"/>
          <w:szCs w:val="32"/>
        </w:rPr>
        <w:t>（六）加强党的建设，促进作风转变。</w:t>
      </w:r>
      <w:r>
        <w:rPr>
          <w:rFonts w:ascii="仿宋" w:hAnsi="仿宋" w:eastAsia="仿宋"/>
          <w:color w:val="000000"/>
          <w:kern w:val="2"/>
          <w:sz w:val="32"/>
          <w:szCs w:val="32"/>
        </w:rPr>
        <w:t>严格落实党风廉政建设责任，党风廉政建设文件会议精神、典型案例在第一时间传达，党风廉政建设工作要求逢会必强调，逢节假日必提醒。建立廉政风险防控一览表，排查梳理廉政风险点，研究制定防控措施。纪检委员全程参与保障中心“三重一大”事项决策，牵头负责中心干部职工的监督管理，及时发挥监督作用。严格落实“守纪律、讲规矩”警示教育年活动和“一片两书三案例”活动要求，通过集中学习、案例通报、检视交流、谈心谈话、主题党日活动等方式开展了一系列警示教育，并举一反三、查漏补缺、建章立制，深化“以案促改”。</w:t>
      </w:r>
    </w:p>
    <w:p>
      <w:pPr>
        <w:pStyle w:val="6"/>
        <w:snapToGrid w:val="0"/>
        <w:spacing w:before="260" w:after="260" w:line="415" w:lineRule="auto"/>
        <w:ind w:firstLine="643"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三、机构设置情况</w:t>
      </w:r>
    </w:p>
    <w:p>
      <w:pPr>
        <w:pStyle w:val="19"/>
        <w:snapToGrid w:val="0"/>
        <w:spacing w:line="580" w:lineRule="exact"/>
        <w:ind w:firstLine="960" w:firstLineChars="300"/>
        <w:rPr>
          <w:rFonts w:hint="eastAsia" w:ascii="Times New Roman" w:hAnsi="Times New Roman" w:eastAsia="仿宋" w:cs="Times New Roman"/>
          <w:szCs w:val="32"/>
          <w:highlight w:val="none"/>
          <w:u w:val="none"/>
          <w:lang w:eastAsia="zh-CN"/>
        </w:rPr>
      </w:pPr>
      <w:r>
        <w:rPr>
          <w:rFonts w:hint="default" w:ascii="Times New Roman" w:hAnsi="Times New Roman" w:eastAsia="仿宋" w:cs="Times New Roman"/>
          <w:szCs w:val="32"/>
          <w:highlight w:val="none"/>
          <w:u w:val="none"/>
        </w:rPr>
        <w:t>四川省应急管理保障中心根据工作需要，内部分成了4个工作组，分别是：综合组、财务组、服务保障组、运维保障组</w:t>
      </w:r>
      <w:r>
        <w:rPr>
          <w:rFonts w:hint="eastAsia" w:eastAsia="仿宋" w:cs="Times New Roman"/>
          <w:szCs w:val="32"/>
          <w:highlight w:val="none"/>
          <w:u w:val="none"/>
          <w:lang w:eastAsia="zh-CN"/>
        </w:rPr>
        <w:t>。</w:t>
      </w: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p>
      <w:pPr>
        <w:pStyle w:val="19"/>
        <w:snapToGrid w:val="0"/>
        <w:spacing w:line="580" w:lineRule="exact"/>
        <w:ind w:firstLine="680"/>
        <w:rPr>
          <w:rFonts w:hint="default" w:ascii="Times New Roman" w:hAnsi="Times New Roman" w:eastAsia="仿宋" w:cs="Times New Roman"/>
          <w:szCs w:val="32"/>
          <w:highlight w:val="none"/>
          <w:u w:val="none"/>
        </w:rPr>
      </w:pPr>
    </w:p>
    <w:bookmarkEnd w:id="0"/>
    <w:bookmarkEnd w:id="1"/>
    <w:p>
      <w:pPr>
        <w:pStyle w:val="10"/>
        <w:numPr>
          <w:ilvl w:val="0"/>
          <w:numId w:val="3"/>
        </w:numPr>
        <w:adjustRightInd w:val="0"/>
        <w:snapToGrid w:val="0"/>
        <w:spacing w:before="0" w:line="440" w:lineRule="exact"/>
        <w:ind w:left="459" w:leftChars="0" w:firstLine="0" w:firstLineChars="0"/>
        <w:jc w:val="center"/>
        <w:rPr>
          <w:rFonts w:hint="eastAsia"/>
          <w:b/>
          <w:bCs/>
          <w:color w:val="auto"/>
          <w:sz w:val="44"/>
          <w:szCs w:val="44"/>
        </w:rPr>
      </w:pPr>
      <w:r>
        <w:rPr>
          <w:rFonts w:hint="eastAsia"/>
          <w:b/>
          <w:bCs/>
          <w:color w:val="auto"/>
          <w:sz w:val="44"/>
          <w:szCs w:val="44"/>
          <w:lang w:val="en-US" w:eastAsia="zh-CN"/>
        </w:rPr>
        <w:t>2020年度</w:t>
      </w:r>
      <w:r>
        <w:rPr>
          <w:rFonts w:hint="eastAsia"/>
          <w:b/>
          <w:bCs/>
          <w:color w:val="auto"/>
          <w:sz w:val="44"/>
          <w:szCs w:val="44"/>
        </w:rPr>
        <w:t>部门决算情况说明</w:t>
      </w:r>
    </w:p>
    <w:p>
      <w:pPr>
        <w:rPr>
          <w:rFonts w:hint="eastAsia"/>
        </w:rPr>
      </w:pPr>
    </w:p>
    <w:p>
      <w:pPr>
        <w:numPr>
          <w:ilvl w:val="0"/>
          <w:numId w:val="0"/>
        </w:numPr>
        <w:ind w:left="459" w:leftChars="0"/>
        <w:rPr>
          <w:rFonts w:hint="eastAsia"/>
        </w:rPr>
      </w:pPr>
    </w:p>
    <w:p>
      <w:pPr>
        <w:pStyle w:val="16"/>
        <w:numPr>
          <w:ilvl w:val="0"/>
          <w:numId w:val="4"/>
        </w:numPr>
        <w:spacing w:line="600" w:lineRule="exact"/>
        <w:ind w:firstLineChars="0"/>
        <w:outlineLvl w:val="1"/>
        <w:rPr>
          <w:rStyle w:val="17"/>
          <w:rFonts w:ascii="黑体" w:hAnsi="黑体" w:eastAsia="黑体"/>
          <w:b w:val="0"/>
          <w:color w:val="auto"/>
        </w:rPr>
      </w:pPr>
      <w:r>
        <w:rPr>
          <w:rFonts w:hint="eastAsia" w:ascii="黑体" w:hAnsi="黑体" w:eastAsia="黑体"/>
          <w:color w:val="auto"/>
          <w:sz w:val="32"/>
          <w:szCs w:val="32"/>
        </w:rPr>
        <w:t>收</w:t>
      </w:r>
      <w:r>
        <w:rPr>
          <w:rStyle w:val="17"/>
          <w:rFonts w:hint="eastAsia" w:ascii="黑体" w:hAnsi="黑体" w:eastAsia="黑体"/>
          <w:b w:val="0"/>
          <w:color w:val="auto"/>
        </w:rPr>
        <w:t>入支出决算总体情况说明</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保障中心</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年度收、支</w:t>
      </w:r>
      <w:r>
        <w:rPr>
          <w:rFonts w:hint="eastAsia" w:ascii="仿宋" w:hAnsi="仿宋" w:eastAsia="仿宋"/>
          <w:color w:val="auto"/>
          <w:sz w:val="32"/>
          <w:szCs w:val="32"/>
          <w:lang w:eastAsia="zh-CN"/>
        </w:rPr>
        <w:t>总计</w:t>
      </w:r>
      <w:r>
        <w:rPr>
          <w:rFonts w:hint="eastAsia" w:ascii="仿宋" w:hAnsi="仿宋" w:eastAsia="仿宋"/>
          <w:color w:val="auto"/>
          <w:sz w:val="32"/>
          <w:szCs w:val="32"/>
          <w:lang w:val="en-US" w:eastAsia="zh-CN"/>
        </w:rPr>
        <w:t>867.67</w:t>
      </w:r>
      <w:r>
        <w:rPr>
          <w:rFonts w:hint="eastAsia" w:ascii="仿宋" w:hAnsi="仿宋" w:eastAsia="仿宋"/>
          <w:color w:val="auto"/>
          <w:sz w:val="32"/>
          <w:szCs w:val="32"/>
        </w:rPr>
        <w:t>万元。与201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年相比，收、支总计各增加</w:t>
      </w:r>
      <w:r>
        <w:rPr>
          <w:rFonts w:hint="eastAsia" w:ascii="仿宋" w:hAnsi="仿宋" w:eastAsia="仿宋"/>
          <w:color w:val="auto"/>
          <w:sz w:val="32"/>
          <w:szCs w:val="32"/>
          <w:lang w:val="en-US" w:eastAsia="zh-CN"/>
        </w:rPr>
        <w:t>700.37</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418.63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主要变动</w:t>
      </w:r>
      <w:r>
        <w:rPr>
          <w:rFonts w:hint="eastAsia" w:ascii="仿宋" w:hAnsi="仿宋" w:eastAsia="仿宋"/>
          <w:color w:val="auto"/>
          <w:sz w:val="32"/>
          <w:szCs w:val="32"/>
        </w:rPr>
        <w:t>原因</w:t>
      </w:r>
      <w:r>
        <w:rPr>
          <w:rFonts w:hint="eastAsia" w:ascii="仿宋" w:hAnsi="仿宋" w:eastAsia="仿宋"/>
          <w:color w:val="auto"/>
          <w:sz w:val="32"/>
          <w:szCs w:val="32"/>
          <w:lang w:eastAsia="zh-CN"/>
        </w:rPr>
        <w:t>是，保障中心为机改后新成立部门，</w:t>
      </w:r>
      <w:r>
        <w:rPr>
          <w:rFonts w:hint="eastAsia" w:ascii="仿宋" w:hAnsi="仿宋" w:eastAsia="仿宋"/>
          <w:color w:val="auto"/>
          <w:sz w:val="32"/>
          <w:szCs w:val="32"/>
          <w:lang w:val="en-US" w:eastAsia="zh-CN"/>
        </w:rPr>
        <w:t>2020年中人员增幅较大，2019年年底保障中心实有人员</w:t>
      </w:r>
      <w:r>
        <w:rPr>
          <w:rFonts w:hint="eastAsia" w:ascii="仿宋" w:hAnsi="仿宋" w:eastAsia="仿宋"/>
          <w:color w:val="000000"/>
          <w:sz w:val="32"/>
          <w:szCs w:val="32"/>
          <w:lang w:val="en-US" w:eastAsia="zh-CN"/>
        </w:rPr>
        <w:t xml:space="preserve">5人，2020年考/调入32人，人员经费和项目经费增加较大。 </w:t>
      </w:r>
    </w:p>
    <w:p>
      <w:pPr>
        <w:spacing w:line="600" w:lineRule="exact"/>
        <w:ind w:firstLine="1280" w:firstLineChars="400"/>
        <w:rPr>
          <w:rFonts w:hint="eastAsia"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w:t>
      </w:r>
    </w:p>
    <w:p>
      <w:pPr>
        <w:pStyle w:val="7"/>
        <w:rPr>
          <w:rFonts w:ascii="仿宋_GB2312" w:eastAsia="仿宋_GB2312"/>
          <w:color w:val="auto"/>
          <w:sz w:val="32"/>
          <w:szCs w:val="32"/>
        </w:rPr>
      </w:pPr>
      <w:r>
        <w:rPr>
          <w:rFonts w:hint="eastAsia" w:ascii="仿宋" w:hAnsi="仿宋" w:eastAsia="仿宋"/>
          <w:color w:val="auto"/>
          <w:sz w:val="32"/>
          <w:szCs w:val="32"/>
          <w:lang w:eastAsia="zh-CN"/>
        </w:rPr>
        <w:drawing>
          <wp:inline distT="0" distB="0" distL="114300" distR="114300">
            <wp:extent cx="4669155" cy="3508375"/>
            <wp:effectExtent l="4445" t="4445" r="12700" b="11430"/>
            <wp:docPr id="2" name="图表 2"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6"/>
        <w:numPr>
          <w:ilvl w:val="0"/>
          <w:numId w:val="4"/>
        </w:numPr>
        <w:spacing w:line="600" w:lineRule="exact"/>
        <w:ind w:firstLineChars="0"/>
        <w:outlineLvl w:val="1"/>
        <w:rPr>
          <w:rStyle w:val="17"/>
          <w:rFonts w:ascii="黑体" w:hAnsi="黑体" w:eastAsia="黑体"/>
          <w:b w:val="0"/>
          <w:color w:val="auto"/>
        </w:rPr>
      </w:pPr>
      <w:bookmarkStart w:id="13" w:name="_Toc15377206"/>
      <w:bookmarkStart w:id="14" w:name="_Toc15396604"/>
      <w:r>
        <w:rPr>
          <w:rFonts w:hint="eastAsia" w:ascii="黑体" w:hAnsi="黑体" w:eastAsia="黑体"/>
          <w:color w:val="auto"/>
          <w:sz w:val="32"/>
          <w:szCs w:val="32"/>
        </w:rPr>
        <w:t>收</w:t>
      </w:r>
      <w:r>
        <w:rPr>
          <w:rStyle w:val="17"/>
          <w:rFonts w:hint="eastAsia" w:ascii="黑体" w:hAnsi="黑体" w:eastAsia="黑体"/>
          <w:b w:val="0"/>
          <w:color w:val="auto"/>
        </w:rPr>
        <w:t>入决算情况说明</w:t>
      </w:r>
      <w:bookmarkEnd w:id="13"/>
      <w:bookmarkEnd w:id="14"/>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867.43</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867.43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1600" w:firstLineChars="500"/>
        <w:outlineLvl w:val="1"/>
        <w:rPr>
          <w:rFonts w:ascii="仿宋" w:hAnsi="仿宋" w:eastAsia="仿宋"/>
          <w:color w:val="auto"/>
          <w:sz w:val="32"/>
          <w:szCs w:val="32"/>
        </w:rPr>
      </w:pPr>
      <w:r>
        <w:rPr>
          <w:rFonts w:hint="eastAsia" w:ascii="仿宋" w:hAnsi="仿宋" w:eastAsia="仿宋"/>
          <w:color w:val="auto"/>
          <w:sz w:val="32"/>
          <w:szCs w:val="32"/>
        </w:rPr>
        <w:t>图2：收入决算结构图</w:t>
      </w:r>
    </w:p>
    <w:p>
      <w:pPr>
        <w:pStyle w:val="7"/>
        <w:rPr>
          <w:rFonts w:ascii="仿宋" w:hAnsi="仿宋" w:eastAsia="仿宋"/>
          <w:color w:val="auto"/>
          <w:sz w:val="32"/>
          <w:szCs w:val="32"/>
        </w:rPr>
      </w:pPr>
      <w:r>
        <w:rPr>
          <w:rFonts w:hint="eastAsia" w:ascii="仿宋" w:hAnsi="仿宋" w:eastAsia="仿宋"/>
          <w:color w:val="auto"/>
          <w:sz w:val="32"/>
          <w:szCs w:val="32"/>
          <w:lang w:eastAsia="zh-CN"/>
        </w:rPr>
        <w:drawing>
          <wp:inline distT="0" distB="0" distL="114300" distR="114300">
            <wp:extent cx="4779010" cy="2604135"/>
            <wp:effectExtent l="4445" t="4445" r="17145" b="20320"/>
            <wp:docPr id="16" name="图表 16" descr="7b0a202020202263686172745265734964223a2022323034373039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6"/>
        <w:numPr>
          <w:ilvl w:val="0"/>
          <w:numId w:val="0"/>
        </w:numPr>
        <w:spacing w:line="600" w:lineRule="exact"/>
        <w:ind w:firstLine="640" w:firstLineChars="200"/>
        <w:outlineLvl w:val="1"/>
        <w:rPr>
          <w:rStyle w:val="17"/>
          <w:rFonts w:ascii="黑体" w:hAnsi="黑体" w:eastAsia="黑体"/>
          <w:b w:val="0"/>
          <w:color w:val="auto"/>
        </w:rPr>
      </w:pPr>
      <w:bookmarkStart w:id="15" w:name="_Toc15377207"/>
      <w:bookmarkStart w:id="16" w:name="_Toc15396605"/>
      <w:r>
        <w:rPr>
          <w:rFonts w:hint="eastAsia" w:ascii="黑体" w:hAnsi="黑体" w:eastAsia="黑体"/>
          <w:color w:val="auto"/>
          <w:sz w:val="32"/>
          <w:szCs w:val="32"/>
          <w:lang w:eastAsia="zh-CN"/>
        </w:rPr>
        <w:t>三、</w:t>
      </w:r>
      <w:r>
        <w:rPr>
          <w:rFonts w:hint="eastAsia" w:ascii="黑体" w:hAnsi="黑体" w:eastAsia="黑体"/>
          <w:color w:val="auto"/>
          <w:sz w:val="32"/>
          <w:szCs w:val="32"/>
        </w:rPr>
        <w:t>支</w:t>
      </w:r>
      <w:r>
        <w:rPr>
          <w:rStyle w:val="17"/>
          <w:rFonts w:hint="eastAsia" w:ascii="黑体" w:hAnsi="黑体" w:eastAsia="黑体"/>
          <w:b w:val="0"/>
          <w:color w:val="auto"/>
        </w:rPr>
        <w:t>出决算情况说明</w:t>
      </w:r>
      <w:bookmarkEnd w:id="15"/>
      <w:bookmarkEnd w:id="16"/>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867.43</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385.58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44.45</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481.85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55.55</w:t>
      </w:r>
      <w:r>
        <w:rPr>
          <w:rFonts w:ascii="仿宋" w:hAnsi="仿宋" w:eastAsia="仿宋"/>
          <w:color w:val="auto"/>
          <w:sz w:val="32"/>
          <w:szCs w:val="32"/>
        </w:rPr>
        <w:t>%</w:t>
      </w:r>
      <w:r>
        <w:rPr>
          <w:rFonts w:hint="eastAsia" w:ascii="仿宋" w:hAnsi="仿宋" w:eastAsia="仿宋"/>
          <w:color w:val="auto"/>
          <w:sz w:val="32"/>
          <w:szCs w:val="32"/>
        </w:rPr>
        <w:t>。</w:t>
      </w:r>
    </w:p>
    <w:p>
      <w:pPr>
        <w:pStyle w:val="7"/>
        <w:ind w:firstLine="1600" w:firstLineChars="500"/>
        <w:rPr>
          <w:rFonts w:hint="eastAsia" w:ascii="仿宋" w:hAnsi="仿宋" w:eastAsia="仿宋"/>
          <w:b/>
          <w:color w:val="auto"/>
          <w:sz w:val="32"/>
          <w:szCs w:val="32"/>
        </w:rPr>
      </w:pPr>
      <w:r>
        <w:rPr>
          <w:rFonts w:hint="eastAsia" w:ascii="仿宋" w:hAnsi="仿宋" w:eastAsia="仿宋"/>
          <w:color w:val="auto"/>
          <w:sz w:val="32"/>
          <w:szCs w:val="32"/>
        </w:rPr>
        <w:t>图3：支出决算结构图</w:t>
      </w:r>
    </w:p>
    <w:p>
      <w:pPr>
        <w:pStyle w:val="7"/>
        <w:rPr>
          <w:rFonts w:hint="eastAsia" w:ascii="仿宋" w:hAnsi="仿宋" w:eastAsia="仿宋"/>
          <w:b/>
          <w:color w:val="auto"/>
          <w:sz w:val="32"/>
          <w:szCs w:val="32"/>
          <w:lang w:val="en-US" w:eastAsia="zh-CN"/>
        </w:rPr>
      </w:pPr>
    </w:p>
    <w:p>
      <w:pPr>
        <w:pStyle w:val="7"/>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drawing>
          <wp:inline distT="0" distB="0" distL="114300" distR="114300">
            <wp:extent cx="5524500" cy="2397125"/>
            <wp:effectExtent l="4445" t="4445" r="14605" b="17780"/>
            <wp:docPr id="1" name="图表 1" descr="7b0a202020202263686172745265734964223a2022323034373039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17"/>
          <w:rFonts w:ascii="黑体" w:hAnsi="黑体" w:eastAsia="黑体"/>
          <w:b w:val="0"/>
          <w:color w:val="auto"/>
        </w:rPr>
      </w:pPr>
      <w:bookmarkStart w:id="17" w:name="_Toc15396606"/>
      <w:bookmarkStart w:id="18" w:name="_Toc15377208"/>
      <w:r>
        <w:rPr>
          <w:rFonts w:hint="eastAsia" w:ascii="黑体" w:hAnsi="黑体" w:eastAsia="黑体"/>
          <w:color w:val="auto"/>
          <w:sz w:val="32"/>
          <w:szCs w:val="32"/>
        </w:rPr>
        <w:t>四、财</w:t>
      </w:r>
      <w:r>
        <w:rPr>
          <w:rStyle w:val="17"/>
          <w:rFonts w:hint="eastAsia" w:ascii="黑体" w:hAnsi="黑体" w:eastAsia="黑体"/>
          <w:b w:val="0"/>
          <w:color w:val="auto"/>
        </w:rPr>
        <w:t>政拨款收入支出决算总体情况说明</w:t>
      </w:r>
      <w:bookmarkEnd w:id="17"/>
      <w:bookmarkEnd w:id="18"/>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867.43</w:t>
      </w:r>
      <w:r>
        <w:rPr>
          <w:rFonts w:hint="eastAsia" w:ascii="仿宋" w:hAnsi="仿宋" w:eastAsia="仿宋"/>
          <w:color w:val="auto"/>
          <w:sz w:val="32"/>
          <w:szCs w:val="32"/>
        </w:rPr>
        <w:t>万元。与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年相比，财政拨款收、支总计各增加</w:t>
      </w:r>
      <w:r>
        <w:rPr>
          <w:rFonts w:hint="eastAsia" w:ascii="仿宋" w:hAnsi="仿宋" w:eastAsia="仿宋"/>
          <w:color w:val="auto"/>
          <w:sz w:val="32"/>
          <w:szCs w:val="32"/>
          <w:lang w:val="en-US" w:eastAsia="zh-CN"/>
        </w:rPr>
        <w:t>700.25</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418.86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主要变动</w:t>
      </w:r>
      <w:r>
        <w:rPr>
          <w:rFonts w:hint="eastAsia" w:ascii="仿宋" w:hAnsi="仿宋" w:eastAsia="仿宋"/>
          <w:color w:val="auto"/>
          <w:sz w:val="32"/>
          <w:szCs w:val="32"/>
        </w:rPr>
        <w:t>原因</w:t>
      </w:r>
      <w:r>
        <w:rPr>
          <w:rFonts w:hint="eastAsia" w:ascii="仿宋" w:hAnsi="仿宋" w:eastAsia="仿宋"/>
          <w:color w:val="auto"/>
          <w:sz w:val="32"/>
          <w:szCs w:val="32"/>
          <w:lang w:eastAsia="zh-CN"/>
        </w:rPr>
        <w:t>是，</w:t>
      </w:r>
      <w:r>
        <w:rPr>
          <w:rFonts w:hint="eastAsia" w:ascii="仿宋" w:hAnsi="仿宋" w:eastAsia="仿宋"/>
          <w:color w:val="auto"/>
          <w:sz w:val="32"/>
          <w:szCs w:val="32"/>
          <w:lang w:val="en-US" w:eastAsia="zh-CN"/>
        </w:rPr>
        <w:t>2020年中人员增幅较大，2019年年底，保障中心实有人员</w:t>
      </w:r>
      <w:r>
        <w:rPr>
          <w:rFonts w:hint="eastAsia" w:ascii="仿宋" w:hAnsi="仿宋" w:eastAsia="仿宋"/>
          <w:color w:val="000000"/>
          <w:sz w:val="32"/>
          <w:szCs w:val="32"/>
          <w:lang w:val="en-US" w:eastAsia="zh-CN"/>
        </w:rPr>
        <w:t xml:space="preserve">5人，2020年考/调入32人，人员经费和项目经费增加较大。 </w:t>
      </w:r>
    </w:p>
    <w:p>
      <w:pPr>
        <w:spacing w:line="600" w:lineRule="exact"/>
        <w:ind w:firstLine="1600" w:firstLineChars="500"/>
        <w:rPr>
          <w:rFonts w:hint="eastAsia" w:ascii="仿宋" w:hAnsi="仿宋" w:eastAsia="仿宋"/>
          <w:color w:val="auto"/>
          <w:sz w:val="32"/>
          <w:szCs w:val="32"/>
        </w:rPr>
      </w:pPr>
      <w:r>
        <w:rPr>
          <w:rFonts w:hint="eastAsia" w:ascii="仿宋" w:hAnsi="仿宋" w:eastAsia="仿宋"/>
          <w:color w:val="auto"/>
          <w:sz w:val="32"/>
          <w:szCs w:val="32"/>
        </w:rPr>
        <w:t>图4：财政拨款收、支决算总计变动情况</w:t>
      </w:r>
    </w:p>
    <w:p>
      <w:pPr>
        <w:pStyle w:val="2"/>
        <w:rPr>
          <w:rFonts w:hint="eastAsia" w:ascii="仿宋" w:hAnsi="仿宋" w:eastAsia="仿宋"/>
          <w:color w:val="auto"/>
          <w:sz w:val="32"/>
          <w:szCs w:val="32"/>
        </w:rPr>
      </w:pPr>
      <w:r>
        <w:rPr>
          <w:rFonts w:hint="eastAsia" w:ascii="仿宋" w:hAnsi="仿宋" w:eastAsia="仿宋"/>
          <w:color w:val="auto"/>
          <w:sz w:val="32"/>
          <w:szCs w:val="32"/>
          <w:lang w:eastAsia="zh-CN"/>
        </w:rPr>
        <w:drawing>
          <wp:inline distT="0" distB="0" distL="114300" distR="114300">
            <wp:extent cx="4669155" cy="3508375"/>
            <wp:effectExtent l="4445" t="4445" r="12700" b="11430"/>
            <wp:docPr id="6" name="图表 6"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7"/>
        <w:ind w:firstLine="640" w:firstLineChars="200"/>
        <w:rPr>
          <w:rStyle w:val="17"/>
          <w:rFonts w:ascii="黑体" w:hAnsi="黑体" w:eastAsia="黑体"/>
          <w:b w:val="0"/>
          <w:color w:val="auto"/>
        </w:rPr>
      </w:pPr>
      <w:bookmarkStart w:id="19" w:name="_Toc15396607"/>
      <w:bookmarkStart w:id="20"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17"/>
          <w:rFonts w:hint="eastAsia" w:ascii="黑体" w:hAnsi="黑体" w:eastAsia="黑体"/>
          <w:b w:val="0"/>
          <w:color w:val="auto"/>
        </w:rPr>
        <w:t>般公共预算财政拨款支出决算情况说明</w:t>
      </w:r>
      <w:bookmarkEnd w:id="19"/>
      <w:bookmarkEnd w:id="20"/>
    </w:p>
    <w:p>
      <w:pPr>
        <w:spacing w:line="600" w:lineRule="exact"/>
        <w:ind w:firstLine="643" w:firstLineChars="200"/>
        <w:outlineLvl w:val="2"/>
        <w:rPr>
          <w:rFonts w:ascii="仿宋" w:hAnsi="仿宋" w:eastAsia="仿宋"/>
          <w:b/>
          <w:color w:val="auto"/>
          <w:sz w:val="32"/>
          <w:szCs w:val="32"/>
        </w:rPr>
      </w:pPr>
      <w:bookmarkStart w:id="21" w:name="_Toc15377210"/>
      <w:r>
        <w:rPr>
          <w:rFonts w:hint="eastAsia" w:ascii="仿宋" w:hAnsi="仿宋" w:eastAsia="仿宋"/>
          <w:b/>
          <w:color w:val="auto"/>
          <w:sz w:val="32"/>
          <w:szCs w:val="32"/>
        </w:rPr>
        <w:t>（一）一般公共预算财政拨款支出决算总体情况</w:t>
      </w:r>
      <w:bookmarkEnd w:id="21"/>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867.43</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年相比，一般公共预算财政拨款增加</w:t>
      </w:r>
      <w:r>
        <w:rPr>
          <w:rFonts w:hint="eastAsia" w:ascii="仿宋" w:hAnsi="仿宋" w:eastAsia="仿宋"/>
          <w:color w:val="auto"/>
          <w:sz w:val="32"/>
          <w:szCs w:val="32"/>
          <w:lang w:val="en-US" w:eastAsia="zh-CN"/>
        </w:rPr>
        <w:t>700.38</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419.26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主要变动</w:t>
      </w:r>
      <w:r>
        <w:rPr>
          <w:rFonts w:hint="eastAsia" w:ascii="仿宋" w:hAnsi="仿宋" w:eastAsia="仿宋"/>
          <w:color w:val="auto"/>
          <w:sz w:val="32"/>
          <w:szCs w:val="32"/>
        </w:rPr>
        <w:t>原因</w:t>
      </w:r>
      <w:r>
        <w:rPr>
          <w:rFonts w:hint="eastAsia" w:ascii="仿宋" w:hAnsi="仿宋" w:eastAsia="仿宋"/>
          <w:color w:val="auto"/>
          <w:sz w:val="32"/>
          <w:szCs w:val="32"/>
          <w:lang w:eastAsia="zh-CN"/>
        </w:rPr>
        <w:t>是，</w:t>
      </w:r>
      <w:r>
        <w:rPr>
          <w:rFonts w:hint="eastAsia" w:ascii="仿宋" w:hAnsi="仿宋" w:eastAsia="仿宋"/>
          <w:color w:val="auto"/>
          <w:sz w:val="32"/>
          <w:szCs w:val="32"/>
          <w:lang w:val="en-US" w:eastAsia="zh-CN"/>
        </w:rPr>
        <w:t>2020年中人员增幅较大，2019年年底保障中心实有人员</w:t>
      </w:r>
      <w:r>
        <w:rPr>
          <w:rFonts w:hint="eastAsia" w:ascii="仿宋" w:hAnsi="仿宋" w:eastAsia="仿宋"/>
          <w:color w:val="000000"/>
          <w:sz w:val="32"/>
          <w:szCs w:val="32"/>
          <w:lang w:val="en-US" w:eastAsia="zh-CN"/>
        </w:rPr>
        <w:t xml:space="preserve">5人，2020年考/调入32人，人员经费支出和项目经费支出增加较大。 </w:t>
      </w:r>
    </w:p>
    <w:p>
      <w:pPr>
        <w:pStyle w:val="2"/>
      </w:pPr>
      <w:r>
        <w:rPr>
          <w:rFonts w:hint="eastAsia" w:ascii="仿宋" w:hAnsi="仿宋" w:eastAsia="仿宋"/>
          <w:color w:val="auto"/>
          <w:sz w:val="32"/>
          <w:szCs w:val="32"/>
        </w:rPr>
        <w:t>图5：一般公共预算财政拨款支出决算变动情况</w:t>
      </w:r>
    </w:p>
    <w:p>
      <w:pPr>
        <w:pStyle w:val="7"/>
        <w:rPr>
          <w:rFonts w:ascii="仿宋" w:hAnsi="仿宋" w:eastAsia="仿宋"/>
          <w:color w:val="auto"/>
          <w:sz w:val="32"/>
          <w:szCs w:val="32"/>
        </w:rPr>
      </w:pPr>
      <w:r>
        <w:rPr>
          <w:rFonts w:hint="eastAsia" w:ascii="仿宋" w:hAnsi="仿宋" w:eastAsia="仿宋"/>
          <w:color w:val="auto"/>
          <w:sz w:val="32"/>
          <w:szCs w:val="32"/>
          <w:lang w:eastAsia="zh-CN"/>
        </w:rPr>
        <w:drawing>
          <wp:inline distT="0" distB="0" distL="114300" distR="114300">
            <wp:extent cx="4669155" cy="3508375"/>
            <wp:effectExtent l="4445" t="4445" r="12700" b="11430"/>
            <wp:docPr id="4" name="图表 4"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outlineLvl w:val="2"/>
        <w:rPr>
          <w:rFonts w:ascii="仿宋" w:hAnsi="仿宋" w:eastAsia="仿宋"/>
          <w:b/>
          <w:color w:val="auto"/>
          <w:sz w:val="32"/>
          <w:szCs w:val="32"/>
        </w:rPr>
      </w:pPr>
      <w:bookmarkStart w:id="22" w:name="_Toc15377211"/>
      <w:r>
        <w:rPr>
          <w:rFonts w:hint="eastAsia" w:ascii="仿宋" w:hAnsi="仿宋" w:eastAsia="仿宋"/>
          <w:b/>
          <w:color w:val="auto"/>
          <w:sz w:val="32"/>
          <w:szCs w:val="32"/>
        </w:rPr>
        <w:t>（二）一般公共预算财政拨款支出决算结构情况</w:t>
      </w:r>
      <w:bookmarkEnd w:id="22"/>
    </w:p>
    <w:p>
      <w:pPr>
        <w:spacing w:line="600" w:lineRule="exact"/>
        <w:ind w:firstLine="640"/>
        <w:rPr>
          <w:rFonts w:hint="default" w:ascii="仿宋" w:hAnsi="仿宋" w:eastAsia="仿宋"/>
          <w:b/>
          <w:color w:val="FF0000"/>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867.43</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教育支出（类）</w:t>
      </w:r>
      <w:r>
        <w:rPr>
          <w:rFonts w:hint="eastAsia" w:ascii="仿宋" w:hAnsi="仿宋" w:eastAsia="仿宋"/>
          <w:b/>
          <w:color w:val="auto"/>
          <w:sz w:val="32"/>
          <w:szCs w:val="32"/>
          <w:lang w:val="en-US" w:eastAsia="zh-CN"/>
        </w:rPr>
        <w:t>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25.82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2.98</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b/>
          <w:bCs/>
          <w:color w:val="auto"/>
          <w:sz w:val="32"/>
          <w:szCs w:val="32"/>
          <w:lang w:eastAsia="zh-CN"/>
        </w:rPr>
        <w:t>（类）</w:t>
      </w:r>
      <w:r>
        <w:rPr>
          <w:rFonts w:hint="eastAsia" w:ascii="仿宋" w:hAnsi="仿宋" w:eastAsia="仿宋"/>
          <w:b/>
          <w:bCs/>
          <w:color w:val="auto"/>
          <w:sz w:val="32"/>
          <w:szCs w:val="32"/>
          <w:lang w:val="en-US" w:eastAsia="zh-CN"/>
        </w:rPr>
        <w:t>16.78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1.93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住房保障支出</w:t>
      </w:r>
      <w:r>
        <w:rPr>
          <w:rFonts w:hint="eastAsia" w:ascii="仿宋" w:hAnsi="仿宋" w:eastAsia="仿宋"/>
          <w:b/>
          <w:bCs/>
          <w:color w:val="auto"/>
          <w:sz w:val="32"/>
          <w:szCs w:val="32"/>
          <w:lang w:eastAsia="zh-CN"/>
        </w:rPr>
        <w:t>（类）</w:t>
      </w:r>
      <w:r>
        <w:rPr>
          <w:rFonts w:hint="eastAsia" w:ascii="仿宋" w:hAnsi="仿宋" w:eastAsia="仿宋"/>
          <w:color w:val="auto"/>
          <w:sz w:val="32"/>
          <w:szCs w:val="32"/>
          <w:lang w:val="en-US" w:eastAsia="zh-CN"/>
        </w:rPr>
        <w:t>34.43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3.97</w:t>
      </w:r>
      <w:r>
        <w:rPr>
          <w:rFonts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b/>
          <w:bCs/>
          <w:color w:val="auto"/>
          <w:sz w:val="32"/>
          <w:szCs w:val="32"/>
          <w:lang w:eastAsia="zh-CN"/>
        </w:rPr>
        <w:t>灾害防治及应急管理（类）</w:t>
      </w:r>
      <w:r>
        <w:rPr>
          <w:rFonts w:hint="eastAsia" w:ascii="仿宋" w:hAnsi="仿宋" w:eastAsia="仿宋"/>
          <w:color w:val="auto"/>
          <w:sz w:val="32"/>
          <w:szCs w:val="32"/>
          <w:lang w:eastAsia="zh-CN"/>
        </w:rPr>
        <w:t>支出</w:t>
      </w:r>
      <w:r>
        <w:rPr>
          <w:rFonts w:hint="eastAsia" w:ascii="仿宋" w:hAnsi="仿宋" w:eastAsia="仿宋"/>
          <w:color w:val="auto"/>
          <w:sz w:val="32"/>
          <w:szCs w:val="32"/>
          <w:lang w:val="en-US" w:eastAsia="zh-CN"/>
        </w:rPr>
        <w:t>787.4万元，占90.77%。</w:t>
      </w:r>
    </w:p>
    <w:p>
      <w:pPr>
        <w:spacing w:line="600" w:lineRule="exact"/>
        <w:ind w:firstLine="1280" w:firstLineChars="400"/>
        <w:rPr>
          <w:rFonts w:ascii="仿宋" w:hAnsi="仿宋" w:eastAsia="仿宋"/>
          <w:color w:val="auto"/>
          <w:sz w:val="32"/>
          <w:szCs w:val="32"/>
        </w:rPr>
      </w:pPr>
      <w:r>
        <w:rPr>
          <w:rFonts w:hint="eastAsia" w:ascii="仿宋" w:hAnsi="仿宋" w:eastAsia="仿宋"/>
          <w:color w:val="auto"/>
          <w:sz w:val="32"/>
          <w:szCs w:val="32"/>
        </w:rPr>
        <w:t>一般公共预算财政拨款支出决算结构</w:t>
      </w:r>
    </w:p>
    <w:p>
      <w:pPr>
        <w:spacing w:line="600" w:lineRule="exact"/>
        <w:rPr>
          <w:rFonts w:ascii="仿宋" w:hAnsi="仿宋" w:eastAsia="仿宋"/>
          <w:color w:val="auto"/>
          <w:sz w:val="32"/>
          <w:szCs w:val="32"/>
        </w:rPr>
      </w:pPr>
    </w:p>
    <w:p>
      <w:pPr>
        <w:pStyle w:val="2"/>
        <w:rPr>
          <w:rFonts w:ascii="仿宋" w:hAnsi="仿宋" w:eastAsia="仿宋"/>
          <w:color w:val="auto"/>
          <w:sz w:val="32"/>
          <w:szCs w:val="32"/>
        </w:rPr>
      </w:pPr>
      <w:r>
        <w:rPr>
          <w:rFonts w:hint="eastAsia" w:ascii="仿宋" w:hAnsi="仿宋" w:eastAsia="仿宋"/>
          <w:b/>
          <w:color w:val="auto"/>
          <w:sz w:val="32"/>
          <w:szCs w:val="32"/>
          <w:lang w:val="en-US" w:eastAsia="zh-CN"/>
        </w:rPr>
        <w:drawing>
          <wp:inline distT="0" distB="0" distL="114300" distR="114300">
            <wp:extent cx="4777105" cy="4493260"/>
            <wp:effectExtent l="4445" t="4445" r="19050" b="17145"/>
            <wp:docPr id="8" name="图表 8" descr="7b0a202020202263686172745265734964223a2022323034373039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outlineLvl w:val="2"/>
        <w:rPr>
          <w:rFonts w:ascii="仿宋" w:hAnsi="仿宋" w:eastAsia="仿宋"/>
          <w:b/>
          <w:color w:val="auto"/>
          <w:sz w:val="32"/>
          <w:szCs w:val="32"/>
        </w:rPr>
      </w:pPr>
      <w:bookmarkStart w:id="23" w:name="_Toc15377212"/>
      <w:r>
        <w:rPr>
          <w:rFonts w:hint="eastAsia" w:ascii="仿宋" w:hAnsi="仿宋" w:eastAsia="仿宋"/>
          <w:b/>
          <w:color w:val="auto"/>
          <w:sz w:val="32"/>
          <w:szCs w:val="32"/>
        </w:rPr>
        <w:t>（三）一般公共预算财政拨款支出决算具体情况</w:t>
      </w:r>
      <w:bookmarkEnd w:id="23"/>
    </w:p>
    <w:p>
      <w:pPr>
        <w:spacing w:line="600" w:lineRule="exact"/>
        <w:ind w:firstLine="643" w:firstLineChars="200"/>
        <w:outlineLvl w:val="2"/>
        <w:rPr>
          <w:rFonts w:ascii="仿宋" w:hAnsi="仿宋" w:eastAsia="仿宋"/>
          <w:color w:val="FF0000"/>
          <w:sz w:val="32"/>
          <w:szCs w:val="32"/>
        </w:rPr>
      </w:pPr>
      <w:bookmarkStart w:id="24" w:name="_Toc15377444"/>
      <w:bookmarkStart w:id="25" w:name="_Toc15378460"/>
      <w:bookmarkStart w:id="26" w:name="_Toc15377213"/>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20</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般公共预算支出决算数为</w:t>
      </w:r>
      <w:r>
        <w:rPr>
          <w:rFonts w:hint="eastAsia" w:ascii="仿宋" w:hAnsi="仿宋" w:eastAsia="仿宋"/>
          <w:b/>
          <w:color w:val="auto"/>
          <w:sz w:val="32"/>
          <w:szCs w:val="32"/>
          <w:lang w:val="en-US" w:eastAsia="zh-CN"/>
        </w:rPr>
        <w:t>867.43</w:t>
      </w:r>
      <w:r>
        <w:rPr>
          <w:rFonts w:hint="eastAsia" w:ascii="仿宋" w:hAnsi="仿宋" w:eastAsia="仿宋"/>
          <w:color w:val="auto"/>
          <w:sz w:val="32"/>
          <w:szCs w:val="32"/>
        </w:rPr>
        <w:t>，</w:t>
      </w:r>
      <w:r>
        <w:rPr>
          <w:rStyle w:val="14"/>
          <w:rFonts w:hint="eastAsia" w:ascii="仿宋" w:hAnsi="仿宋" w:eastAsia="仿宋"/>
          <w:bCs/>
          <w:color w:val="auto"/>
          <w:sz w:val="32"/>
          <w:szCs w:val="32"/>
        </w:rPr>
        <w:t>完成预算</w:t>
      </w:r>
      <w:r>
        <w:rPr>
          <w:rStyle w:val="14"/>
          <w:rFonts w:hint="eastAsia" w:ascii="仿宋" w:hAnsi="仿宋" w:eastAsia="仿宋"/>
          <w:bCs/>
          <w:color w:val="auto"/>
          <w:sz w:val="32"/>
          <w:szCs w:val="32"/>
          <w:lang w:val="en-US" w:eastAsia="zh-CN"/>
        </w:rPr>
        <w:t>88.74</w:t>
      </w:r>
      <w:r>
        <w:rPr>
          <w:rStyle w:val="14"/>
          <w:rFonts w:ascii="仿宋" w:hAnsi="仿宋" w:eastAsia="仿宋"/>
          <w:bCs/>
          <w:color w:val="auto"/>
          <w:sz w:val="32"/>
          <w:szCs w:val="32"/>
        </w:rPr>
        <w:t>%</w:t>
      </w:r>
      <w:r>
        <w:rPr>
          <w:rStyle w:val="14"/>
          <w:rFonts w:hint="eastAsia" w:ascii="仿宋" w:hAnsi="仿宋" w:eastAsia="仿宋"/>
          <w:bCs/>
          <w:color w:val="auto"/>
          <w:sz w:val="32"/>
          <w:szCs w:val="32"/>
        </w:rPr>
        <w:t>。其中：</w:t>
      </w:r>
      <w:bookmarkEnd w:id="24"/>
      <w:bookmarkEnd w:id="25"/>
      <w:bookmarkEnd w:id="26"/>
    </w:p>
    <w:p>
      <w:pPr>
        <w:spacing w:line="600" w:lineRule="exact"/>
        <w:ind w:firstLine="643" w:firstLineChars="200"/>
        <w:rPr>
          <w:rFonts w:hint="eastAsia" w:ascii="仿宋" w:hAnsi="仿宋" w:eastAsia="仿宋"/>
          <w:b/>
          <w:color w:val="auto"/>
          <w:sz w:val="32"/>
          <w:szCs w:val="32"/>
          <w:lang w:eastAsia="zh-CN"/>
        </w:rPr>
      </w:pPr>
      <w:r>
        <w:rPr>
          <w:rStyle w:val="14"/>
          <w:rFonts w:ascii="仿宋" w:hAnsi="仿宋" w:eastAsia="仿宋"/>
          <w:bCs/>
          <w:color w:val="auto"/>
          <w:sz w:val="32"/>
          <w:szCs w:val="32"/>
        </w:rPr>
        <w:t>1.</w:t>
      </w:r>
      <w:r>
        <w:rPr>
          <w:rFonts w:hint="eastAsia" w:ascii="仿宋" w:hAnsi="仿宋" w:eastAsia="仿宋"/>
          <w:b/>
          <w:bCs/>
          <w:color w:val="auto"/>
          <w:sz w:val="32"/>
          <w:szCs w:val="32"/>
          <w:lang w:eastAsia="zh-CN"/>
        </w:rPr>
        <w:t>灾害防治及应急管理</w:t>
      </w:r>
      <w:r>
        <w:rPr>
          <w:rStyle w:val="14"/>
          <w:rFonts w:hint="eastAsia" w:ascii="仿宋" w:hAnsi="仿宋" w:eastAsia="仿宋"/>
          <w:b/>
          <w:bCs/>
          <w:color w:val="auto"/>
          <w:sz w:val="32"/>
          <w:szCs w:val="32"/>
        </w:rPr>
        <w:t>支出</w:t>
      </w:r>
      <w:r>
        <w:rPr>
          <w:rStyle w:val="14"/>
          <w:rFonts w:hint="eastAsia" w:ascii="仿宋" w:hAnsi="仿宋" w:eastAsia="仿宋"/>
          <w:b w:val="0"/>
          <w:bCs/>
          <w:color w:val="auto"/>
          <w:sz w:val="32"/>
          <w:szCs w:val="32"/>
        </w:rPr>
        <w:t>决算为</w:t>
      </w:r>
      <w:r>
        <w:rPr>
          <w:rStyle w:val="14"/>
          <w:rFonts w:hint="eastAsia" w:ascii="仿宋" w:hAnsi="仿宋" w:eastAsia="仿宋"/>
          <w:b w:val="0"/>
          <w:bCs/>
          <w:color w:val="auto"/>
          <w:sz w:val="32"/>
          <w:szCs w:val="32"/>
          <w:lang w:val="en-US" w:eastAsia="zh-CN"/>
        </w:rPr>
        <w:t>787.4</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92.17</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，决算数小于预算数的主要原因是</w:t>
      </w:r>
      <w:r>
        <w:rPr>
          <w:rStyle w:val="14"/>
          <w:rFonts w:hint="eastAsia" w:ascii="仿宋" w:hAnsi="仿宋" w:eastAsia="仿宋"/>
          <w:b w:val="0"/>
          <w:bCs/>
          <w:color w:val="auto"/>
          <w:sz w:val="32"/>
          <w:szCs w:val="32"/>
          <w:lang w:eastAsia="zh-CN"/>
        </w:rPr>
        <w:t>项目中标小于预算数，项目结余部分资金年底由财政收回；</w:t>
      </w:r>
    </w:p>
    <w:p>
      <w:pPr>
        <w:spacing w:line="600" w:lineRule="exact"/>
        <w:ind w:firstLine="643" w:firstLineChars="200"/>
        <w:rPr>
          <w:rFonts w:hint="eastAsia" w:ascii="仿宋" w:hAnsi="仿宋" w:eastAsia="仿宋"/>
          <w:b/>
          <w:color w:val="auto"/>
          <w:sz w:val="32"/>
          <w:szCs w:val="32"/>
          <w:lang w:eastAsia="zh-CN"/>
        </w:rPr>
      </w:pPr>
      <w:r>
        <w:rPr>
          <w:rStyle w:val="14"/>
          <w:rFonts w:ascii="仿宋" w:hAnsi="仿宋" w:eastAsia="仿宋"/>
          <w:bCs/>
          <w:color w:val="auto"/>
          <w:sz w:val="32"/>
          <w:szCs w:val="32"/>
        </w:rPr>
        <w:t>2.</w:t>
      </w:r>
      <w:r>
        <w:rPr>
          <w:rStyle w:val="14"/>
          <w:rFonts w:hint="default" w:ascii="Times New Roman" w:hAnsi="Times New Roman" w:eastAsia="仿宋" w:cs="Times New Roman"/>
          <w:bCs/>
          <w:color w:val="auto"/>
          <w:sz w:val="32"/>
          <w:szCs w:val="32"/>
        </w:rPr>
        <w:t>教育（类）进修及培训（款）培训支出（项）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3</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20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，决算数小于预算数的主要原因是</w:t>
      </w:r>
      <w:r>
        <w:rPr>
          <w:rStyle w:val="14"/>
          <w:rFonts w:hint="eastAsia" w:ascii="仿宋" w:hAnsi="仿宋" w:eastAsia="仿宋"/>
          <w:b w:val="0"/>
          <w:bCs/>
          <w:color w:val="auto"/>
          <w:sz w:val="32"/>
          <w:szCs w:val="32"/>
          <w:lang w:eastAsia="zh-CN"/>
        </w:rPr>
        <w:t>，</w:t>
      </w:r>
      <w:r>
        <w:rPr>
          <w:rStyle w:val="14"/>
          <w:rFonts w:hint="default" w:ascii="Times New Roman" w:hAnsi="Times New Roman" w:eastAsia="仿宋" w:cs="Times New Roman"/>
          <w:b w:val="0"/>
          <w:bCs/>
          <w:color w:val="auto"/>
          <w:sz w:val="32"/>
          <w:szCs w:val="32"/>
        </w:rPr>
        <w:t>受疫情影响，部分</w:t>
      </w:r>
      <w:r>
        <w:rPr>
          <w:rStyle w:val="14"/>
          <w:rFonts w:hint="eastAsia" w:eastAsia="仿宋" w:cs="Times New Roman"/>
          <w:b w:val="0"/>
          <w:bCs/>
          <w:color w:val="auto"/>
          <w:sz w:val="32"/>
          <w:szCs w:val="32"/>
          <w:lang w:eastAsia="zh-CN"/>
        </w:rPr>
        <w:t>培训计划年中统一调整大幅度压减</w:t>
      </w:r>
      <w:r>
        <w:rPr>
          <w:rStyle w:val="14"/>
          <w:rFonts w:hint="default" w:ascii="Times New Roman" w:hAnsi="Times New Roman" w:eastAsia="仿宋" w:cs="Times New Roman"/>
          <w:b w:val="0"/>
          <w:bCs/>
          <w:color w:val="auto"/>
          <w:sz w:val="32"/>
          <w:szCs w:val="32"/>
        </w:rPr>
        <w:t>，相关预算经费</w:t>
      </w:r>
      <w:r>
        <w:rPr>
          <w:rStyle w:val="14"/>
          <w:rFonts w:hint="eastAsia" w:eastAsia="仿宋" w:cs="Times New Roman"/>
          <w:b w:val="0"/>
          <w:bCs/>
          <w:color w:val="auto"/>
          <w:sz w:val="32"/>
          <w:szCs w:val="32"/>
          <w:lang w:val="en-US" w:eastAsia="zh-CN"/>
        </w:rPr>
        <w:t>年中被调减和</w:t>
      </w:r>
      <w:r>
        <w:rPr>
          <w:rStyle w:val="14"/>
          <w:rFonts w:hint="default" w:ascii="Times New Roman" w:hAnsi="Times New Roman" w:eastAsia="仿宋" w:cs="Times New Roman"/>
          <w:b w:val="0"/>
          <w:bCs/>
          <w:color w:val="auto"/>
          <w:sz w:val="32"/>
          <w:szCs w:val="32"/>
        </w:rPr>
        <w:t>年底</w:t>
      </w:r>
      <w:r>
        <w:rPr>
          <w:rStyle w:val="14"/>
          <w:rFonts w:hint="eastAsia" w:eastAsia="仿宋" w:cs="Times New Roman"/>
          <w:b w:val="0"/>
          <w:bCs/>
          <w:color w:val="auto"/>
          <w:sz w:val="32"/>
          <w:szCs w:val="32"/>
          <w:lang w:val="en-US" w:eastAsia="zh-CN"/>
        </w:rPr>
        <w:t>由财政</w:t>
      </w:r>
      <w:r>
        <w:rPr>
          <w:rStyle w:val="14"/>
          <w:rFonts w:hint="default" w:ascii="Times New Roman" w:hAnsi="Times New Roman" w:eastAsia="仿宋" w:cs="Times New Roman"/>
          <w:b w:val="0"/>
          <w:bCs/>
          <w:color w:val="auto"/>
          <w:sz w:val="32"/>
          <w:szCs w:val="32"/>
        </w:rPr>
        <w:t>收回</w:t>
      </w:r>
      <w:r>
        <w:rPr>
          <w:rStyle w:val="14"/>
          <w:rFonts w:hint="eastAsia" w:eastAsia="仿宋" w:cs="Times New Roman"/>
          <w:b w:val="0"/>
          <w:bCs/>
          <w:color w:val="auto"/>
          <w:sz w:val="32"/>
          <w:szCs w:val="32"/>
          <w:lang w:eastAsia="zh-CN"/>
        </w:rPr>
        <w:t>。</w:t>
      </w:r>
    </w:p>
    <w:p>
      <w:pPr>
        <w:spacing w:line="600" w:lineRule="exact"/>
        <w:ind w:firstLine="643" w:firstLineChars="200"/>
        <w:rPr>
          <w:rFonts w:hint="default" w:ascii="仿宋" w:hAnsi="仿宋" w:eastAsia="仿宋"/>
          <w:b/>
          <w:color w:val="auto"/>
          <w:sz w:val="32"/>
          <w:szCs w:val="32"/>
          <w:lang w:val="en-US" w:eastAsia="zh-CN"/>
        </w:rPr>
      </w:pPr>
      <w:r>
        <w:rPr>
          <w:rStyle w:val="14"/>
          <w:rFonts w:ascii="仿宋" w:hAnsi="仿宋" w:eastAsia="仿宋"/>
          <w:bCs/>
          <w:color w:val="auto"/>
          <w:sz w:val="32"/>
          <w:szCs w:val="32"/>
        </w:rPr>
        <w:t>3</w:t>
      </w:r>
      <w:r>
        <w:rPr>
          <w:rStyle w:val="14"/>
          <w:rFonts w:hint="eastAsia" w:ascii="仿宋" w:hAnsi="仿宋" w:eastAsia="仿宋"/>
          <w:bCs/>
          <w:color w:val="auto"/>
          <w:sz w:val="32"/>
          <w:szCs w:val="32"/>
          <w:lang w:eastAsia="zh-CN"/>
        </w:rPr>
        <w:t>.</w:t>
      </w:r>
      <w:r>
        <w:rPr>
          <w:rStyle w:val="14"/>
          <w:rFonts w:hint="default" w:ascii="Times New Roman" w:hAnsi="Times New Roman" w:eastAsia="仿宋" w:cs="Times New Roman"/>
          <w:bCs/>
          <w:color w:val="auto"/>
          <w:sz w:val="32"/>
          <w:szCs w:val="32"/>
        </w:rPr>
        <w:t>社会保障和就业（类）行政事业单位养老支出（款）行政单位离</w:t>
      </w:r>
      <w:r>
        <w:rPr>
          <w:rStyle w:val="14"/>
          <w:rFonts w:hint="eastAsia" w:eastAsia="仿宋" w:cs="Times New Roman"/>
          <w:bCs/>
          <w:color w:val="auto"/>
          <w:sz w:val="32"/>
          <w:szCs w:val="32"/>
          <w:lang w:eastAsia="zh-CN"/>
        </w:rPr>
        <w:t>退休（项）</w:t>
      </w:r>
      <w:r>
        <w:rPr>
          <w:rStyle w:val="14"/>
          <w:rFonts w:ascii="仿宋" w:hAnsi="仿宋" w:eastAsia="仿宋"/>
          <w:bCs/>
          <w:color w:val="auto"/>
          <w:sz w:val="32"/>
          <w:szCs w:val="32"/>
        </w:rPr>
        <w:t>:</w:t>
      </w:r>
      <w:r>
        <w:rPr>
          <w:rStyle w:val="14"/>
          <w:rFonts w:hint="eastAsia" w:ascii="仿宋" w:hAnsi="仿宋" w:eastAsia="仿宋"/>
          <w:b w:val="0"/>
          <w:bCs w:val="0"/>
          <w:color w:val="auto"/>
          <w:sz w:val="32"/>
          <w:szCs w:val="32"/>
          <w:lang w:eastAsia="zh-CN"/>
        </w:rPr>
        <w:t>该项经费</w:t>
      </w:r>
      <w:r>
        <w:rPr>
          <w:rStyle w:val="14"/>
          <w:rFonts w:hint="eastAsia" w:ascii="仿宋" w:hAnsi="仿宋" w:eastAsia="仿宋"/>
          <w:b w:val="0"/>
          <w:bCs/>
          <w:color w:val="auto"/>
          <w:sz w:val="32"/>
          <w:szCs w:val="32"/>
          <w:lang w:eastAsia="zh-CN"/>
        </w:rPr>
        <w:t>含在职人员交养老保险和离退休人员费用</w:t>
      </w:r>
      <w:r>
        <w:rPr>
          <w:rStyle w:val="14"/>
          <w:rFonts w:hint="eastAsia" w:ascii="仿宋" w:hAnsi="仿宋" w:eastAsia="仿宋"/>
          <w:b w:val="0"/>
          <w:bCs/>
          <w:color w:val="auto"/>
          <w:sz w:val="32"/>
          <w:szCs w:val="32"/>
        </w:rPr>
        <w:t>支出</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rPr>
        <w:t>决算</w:t>
      </w:r>
      <w:r>
        <w:rPr>
          <w:rStyle w:val="14"/>
          <w:rFonts w:hint="eastAsia" w:ascii="仿宋" w:hAnsi="仿宋" w:eastAsia="仿宋"/>
          <w:b w:val="0"/>
          <w:bCs/>
          <w:color w:val="auto"/>
          <w:sz w:val="32"/>
          <w:szCs w:val="32"/>
          <w:lang w:eastAsia="zh-CN"/>
        </w:rPr>
        <w:t>数</w:t>
      </w:r>
      <w:r>
        <w:rPr>
          <w:rStyle w:val="14"/>
          <w:rFonts w:hint="eastAsia" w:ascii="仿宋" w:hAnsi="仿宋" w:eastAsia="仿宋"/>
          <w:b w:val="0"/>
          <w:bCs/>
          <w:color w:val="auto"/>
          <w:sz w:val="32"/>
          <w:szCs w:val="32"/>
        </w:rPr>
        <w:t>为</w:t>
      </w:r>
      <w:r>
        <w:rPr>
          <w:rStyle w:val="14"/>
          <w:rFonts w:hint="eastAsia" w:ascii="仿宋" w:hAnsi="仿宋" w:eastAsia="仿宋"/>
          <w:b w:val="0"/>
          <w:bCs/>
          <w:color w:val="auto"/>
          <w:sz w:val="32"/>
          <w:szCs w:val="32"/>
          <w:lang w:val="en-US" w:eastAsia="zh-CN"/>
        </w:rPr>
        <w:t>25.82</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79.37</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，决算数小于预算数的主要原因</w:t>
      </w:r>
      <w:r>
        <w:rPr>
          <w:rStyle w:val="14"/>
          <w:rFonts w:hint="eastAsia" w:ascii="仿宋" w:hAnsi="仿宋" w:eastAsia="仿宋"/>
          <w:b w:val="0"/>
          <w:bCs/>
          <w:color w:val="auto"/>
          <w:sz w:val="32"/>
          <w:szCs w:val="32"/>
          <w:lang w:eastAsia="zh-CN"/>
        </w:rPr>
        <w:t>是，年中辞职一人，退休一人，结余部分资金年底由财政收回。</w:t>
      </w:r>
    </w:p>
    <w:p>
      <w:pPr>
        <w:spacing w:line="600" w:lineRule="exact"/>
        <w:ind w:firstLine="643" w:firstLineChars="200"/>
        <w:rPr>
          <w:rFonts w:hint="default" w:ascii="仿宋" w:hAnsi="仿宋" w:eastAsia="仿宋"/>
          <w:b/>
          <w:color w:val="auto"/>
          <w:sz w:val="32"/>
          <w:szCs w:val="32"/>
          <w:lang w:val="en-US" w:eastAsia="zh-CN"/>
        </w:rPr>
      </w:pPr>
      <w:r>
        <w:rPr>
          <w:rStyle w:val="14"/>
          <w:rFonts w:hint="eastAsia" w:ascii="仿宋" w:hAnsi="仿宋" w:eastAsia="仿宋"/>
          <w:bCs/>
          <w:color w:val="auto"/>
          <w:sz w:val="32"/>
          <w:szCs w:val="32"/>
          <w:lang w:val="en-US" w:eastAsia="zh-CN"/>
        </w:rPr>
        <w:t>4.</w:t>
      </w:r>
      <w:r>
        <w:rPr>
          <w:rStyle w:val="14"/>
          <w:rFonts w:hint="default" w:ascii="Times New Roman" w:hAnsi="Times New Roman" w:eastAsia="仿宋" w:cs="Times New Roman"/>
          <w:bCs/>
          <w:color w:val="auto"/>
          <w:sz w:val="32"/>
          <w:szCs w:val="32"/>
        </w:rPr>
        <w:t>卫生健康支出（类）行政事业单位医疗（款）行政单位医疗（项）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16.78</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55.49</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，决算数小于预算数的主要原因是</w:t>
      </w:r>
      <w:r>
        <w:rPr>
          <w:rStyle w:val="14"/>
          <w:rFonts w:hint="eastAsia" w:ascii="仿宋" w:hAnsi="仿宋" w:eastAsia="仿宋"/>
          <w:b w:val="0"/>
          <w:bCs/>
          <w:color w:val="auto"/>
          <w:sz w:val="32"/>
          <w:szCs w:val="32"/>
          <w:lang w:eastAsia="zh-CN"/>
        </w:rPr>
        <w:t>，年中辞职一人，退休一人，结余部分资金年底由财政收回。</w:t>
      </w:r>
    </w:p>
    <w:p>
      <w:pPr>
        <w:spacing w:line="600" w:lineRule="exact"/>
        <w:ind w:firstLine="643" w:firstLineChars="200"/>
        <w:rPr>
          <w:rFonts w:hint="eastAsia" w:ascii="仿宋" w:hAnsi="仿宋" w:eastAsia="仿宋"/>
          <w:b/>
          <w:color w:val="auto"/>
          <w:sz w:val="32"/>
          <w:szCs w:val="32"/>
          <w:lang w:eastAsia="zh-CN"/>
        </w:rPr>
      </w:pPr>
      <w:r>
        <w:rPr>
          <w:rStyle w:val="14"/>
          <w:rFonts w:hint="eastAsia" w:ascii="仿宋" w:hAnsi="仿宋" w:eastAsia="仿宋"/>
          <w:b/>
          <w:bCs w:val="0"/>
          <w:color w:val="auto"/>
          <w:sz w:val="32"/>
          <w:szCs w:val="32"/>
          <w:lang w:val="en-US" w:eastAsia="zh-CN"/>
        </w:rPr>
        <w:t xml:space="preserve"> 5.</w:t>
      </w:r>
      <w:r>
        <w:rPr>
          <w:rStyle w:val="14"/>
          <w:rFonts w:hint="default" w:ascii="Times New Roman" w:hAnsi="Times New Roman" w:eastAsia="仿宋" w:cs="Times New Roman"/>
          <w:bCs/>
          <w:color w:val="auto"/>
          <w:sz w:val="32"/>
          <w:szCs w:val="32"/>
        </w:rPr>
        <w:t>住房保障支出（类）住房改革支出（款）住房公积金（项）</w:t>
      </w:r>
      <w:r>
        <w:rPr>
          <w:rFonts w:hint="eastAsia" w:ascii="仿宋" w:hAnsi="仿宋" w:eastAsia="仿宋"/>
          <w:b/>
          <w:bCs w:val="0"/>
          <w:color w:val="auto"/>
          <w:sz w:val="32"/>
          <w:szCs w:val="32"/>
          <w:lang w:val="en-US" w:eastAsia="zh-CN"/>
        </w:rPr>
        <w:t>：</w:t>
      </w:r>
      <w:r>
        <w:rPr>
          <w:rFonts w:hint="eastAsia" w:ascii="仿宋" w:hAnsi="仿宋" w:eastAsia="仿宋"/>
          <w:color w:val="auto"/>
          <w:sz w:val="32"/>
          <w:szCs w:val="32"/>
          <w:lang w:val="en-US" w:eastAsia="zh-CN"/>
        </w:rPr>
        <w:t>支出决算为34.43万元，完成预算75.37%，</w:t>
      </w:r>
      <w:r>
        <w:rPr>
          <w:rStyle w:val="14"/>
          <w:rFonts w:hint="eastAsia" w:ascii="仿宋" w:hAnsi="仿宋" w:eastAsia="仿宋"/>
          <w:b w:val="0"/>
          <w:bCs/>
          <w:color w:val="auto"/>
          <w:sz w:val="32"/>
          <w:szCs w:val="32"/>
        </w:rPr>
        <w:t>决算数小于预算数的主要原因是</w:t>
      </w:r>
      <w:r>
        <w:rPr>
          <w:rStyle w:val="14"/>
          <w:rFonts w:hint="eastAsia" w:ascii="仿宋" w:hAnsi="仿宋" w:eastAsia="仿宋"/>
          <w:b w:val="0"/>
          <w:bCs/>
          <w:color w:val="auto"/>
          <w:sz w:val="32"/>
          <w:szCs w:val="32"/>
          <w:lang w:eastAsia="zh-CN"/>
        </w:rPr>
        <w:t>，年中辞职一人，退休一人，结余部分资金年底由财政收回。</w:t>
      </w:r>
    </w:p>
    <w:p>
      <w:pPr>
        <w:tabs>
          <w:tab w:val="right" w:pos="8306"/>
        </w:tabs>
        <w:spacing w:line="600" w:lineRule="exact"/>
        <w:ind w:firstLine="640"/>
        <w:outlineLvl w:val="1"/>
        <w:rPr>
          <w:rStyle w:val="17"/>
          <w:color w:val="auto"/>
        </w:rPr>
      </w:pPr>
      <w:bookmarkStart w:id="27" w:name="_Toc15396608"/>
      <w:bookmarkStart w:id="28"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17"/>
          <w:rFonts w:hint="eastAsia" w:ascii="黑体" w:hAnsi="黑体" w:eastAsia="黑体"/>
          <w:b w:val="0"/>
          <w:color w:val="auto"/>
        </w:rPr>
        <w:t>般公共预算财政拨款基本支出决算情况说明</w:t>
      </w:r>
      <w:bookmarkEnd w:id="27"/>
      <w:bookmarkEnd w:id="28"/>
      <w:r>
        <w:rPr>
          <w:rStyle w:val="17"/>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385.57</w:t>
      </w:r>
      <w:r>
        <w:rPr>
          <w:rFonts w:hint="eastAsia" w:ascii="仿宋" w:hAnsi="仿宋" w:eastAsia="仿宋"/>
          <w:color w:val="auto"/>
          <w:sz w:val="32"/>
          <w:szCs w:val="32"/>
        </w:rPr>
        <w:t>万元，其中：</w:t>
      </w:r>
    </w:p>
    <w:p>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267.62</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color w:val="auto"/>
          <w:sz w:val="32"/>
          <w:szCs w:val="32"/>
        </w:rPr>
      </w:pP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117.95</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color w:val="auto"/>
        </w:rPr>
      </w:pPr>
      <w:bookmarkStart w:id="29" w:name="_Toc15377215"/>
      <w:bookmarkStart w:id="30" w:name="_Toc15396609"/>
      <w:r>
        <w:rPr>
          <w:rFonts w:hint="eastAsia" w:ascii="黑体" w:eastAsia="黑体"/>
          <w:color w:val="auto"/>
          <w:sz w:val="32"/>
          <w:szCs w:val="32"/>
        </w:rPr>
        <w:t>七、</w:t>
      </w:r>
      <w:r>
        <w:rPr>
          <w:rStyle w:val="17"/>
          <w:rFonts w:hint="eastAsia" w:ascii="黑体" w:hAnsi="黑体" w:eastAsia="黑体"/>
          <w:color w:val="auto"/>
        </w:rPr>
        <w:t>“</w:t>
      </w:r>
      <w:r>
        <w:rPr>
          <w:rStyle w:val="17"/>
          <w:rFonts w:hint="eastAsia" w:ascii="黑体" w:hAnsi="黑体" w:eastAsia="黑体"/>
          <w:b w:val="0"/>
          <w:color w:val="auto"/>
        </w:rPr>
        <w:t>三公”经费财政拨款支出决算情况说明</w:t>
      </w:r>
      <w:bookmarkEnd w:id="29"/>
      <w:bookmarkEnd w:id="30"/>
    </w:p>
    <w:p>
      <w:pPr>
        <w:spacing w:line="600" w:lineRule="exact"/>
        <w:ind w:firstLine="640"/>
        <w:outlineLvl w:val="2"/>
        <w:rPr>
          <w:rFonts w:ascii="仿宋" w:hAnsi="仿宋" w:eastAsia="仿宋"/>
          <w:b/>
          <w:color w:val="auto"/>
          <w:sz w:val="32"/>
          <w:szCs w:val="32"/>
        </w:rPr>
      </w:pPr>
      <w:bookmarkStart w:id="31" w:name="_Toc15377216"/>
      <w:r>
        <w:rPr>
          <w:rFonts w:hint="eastAsia" w:ascii="仿宋" w:hAnsi="仿宋" w:eastAsia="仿宋"/>
          <w:b/>
          <w:color w:val="auto"/>
          <w:sz w:val="32"/>
          <w:szCs w:val="32"/>
        </w:rPr>
        <w:t>（一）“三公”经费财政拨款支出决算总体情况说明</w:t>
      </w:r>
      <w:bookmarkEnd w:id="31"/>
    </w:p>
    <w:p>
      <w:pPr>
        <w:spacing w:line="600" w:lineRule="exact"/>
        <w:ind w:firstLine="640"/>
        <w:rPr>
          <w:rFonts w:hint="default" w:ascii="Times New Roman" w:hAnsi="Times New Roman" w:eastAsia="仿宋" w:cs="Times New Roman"/>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4.92</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35.14</w:t>
      </w:r>
      <w:r>
        <w:rPr>
          <w:rFonts w:ascii="仿宋" w:hAnsi="仿宋" w:eastAsia="仿宋"/>
          <w:color w:val="auto"/>
          <w:sz w:val="32"/>
          <w:szCs w:val="32"/>
        </w:rPr>
        <w:t>%</w:t>
      </w:r>
      <w:r>
        <w:rPr>
          <w:rFonts w:hint="eastAsia" w:ascii="仿宋" w:hAnsi="仿宋" w:eastAsia="仿宋"/>
          <w:color w:val="auto"/>
          <w:sz w:val="32"/>
          <w:szCs w:val="32"/>
        </w:rPr>
        <w:t>，决算数小于预算数的主要原因</w:t>
      </w:r>
      <w:r>
        <w:rPr>
          <w:rFonts w:hint="eastAsia" w:ascii="仿宋" w:hAnsi="仿宋" w:eastAsia="仿宋"/>
          <w:color w:val="auto"/>
          <w:sz w:val="32"/>
          <w:szCs w:val="32"/>
          <w:lang w:eastAsia="zh-CN"/>
        </w:rPr>
        <w:t>，</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是</w:t>
      </w:r>
      <w:r>
        <w:rPr>
          <w:rFonts w:hint="default" w:ascii="Times New Roman" w:hAnsi="Times New Roman" w:eastAsia="仿宋" w:cs="Times New Roman"/>
          <w:sz w:val="32"/>
          <w:szCs w:val="32"/>
          <w:lang w:eastAsia="zh-CN"/>
        </w:rPr>
        <w:t>受新冠肺炎疫情影响，</w:t>
      </w:r>
      <w:r>
        <w:rPr>
          <w:rFonts w:hint="eastAsia" w:ascii="Times New Roman" w:hAnsi="Times New Roman" w:eastAsia="仿宋" w:cs="Times New Roman"/>
          <w:sz w:val="32"/>
          <w:szCs w:val="32"/>
          <w:lang w:eastAsia="zh-CN"/>
        </w:rPr>
        <w:t>接待事项减少</w:t>
      </w:r>
      <w:r>
        <w:rPr>
          <w:rFonts w:hint="default" w:ascii="Times New Roman" w:hAnsi="Times New Roman" w:eastAsia="仿宋" w:cs="Times New Roman"/>
          <w:sz w:val="32"/>
          <w:szCs w:val="32"/>
          <w:lang w:val="en-US" w:eastAsia="zh-CN"/>
        </w:rPr>
        <w:t>；二是</w:t>
      </w:r>
      <w:r>
        <w:rPr>
          <w:rFonts w:hint="default" w:ascii="Times New Roman" w:hAnsi="Times New Roman" w:eastAsia="仿宋" w:cs="Times New Roman"/>
          <w:sz w:val="32"/>
          <w:szCs w:val="32"/>
          <w:lang w:eastAsia="zh-CN"/>
        </w:rPr>
        <w:t>严格执行中央八项规定精神和省委省政府十项规定，坚持厉行节约，压减“三公”经费开支</w:t>
      </w:r>
      <w:r>
        <w:rPr>
          <w:rFonts w:hint="default" w:ascii="Times New Roman" w:hAnsi="Times New Roman" w:eastAsia="仿宋" w:cs="Times New Roman"/>
          <w:sz w:val="32"/>
          <w:szCs w:val="32"/>
        </w:rPr>
        <w:t>。</w:t>
      </w:r>
    </w:p>
    <w:p>
      <w:pPr>
        <w:spacing w:line="600" w:lineRule="exact"/>
        <w:ind w:firstLine="640"/>
        <w:outlineLvl w:val="2"/>
        <w:rPr>
          <w:rFonts w:ascii="仿宋" w:hAnsi="仿宋" w:eastAsia="仿宋"/>
          <w:b/>
          <w:color w:val="auto"/>
          <w:sz w:val="32"/>
          <w:szCs w:val="32"/>
        </w:rPr>
      </w:pPr>
      <w:bookmarkStart w:id="32" w:name="_Toc15377217"/>
      <w:r>
        <w:rPr>
          <w:rFonts w:hint="eastAsia" w:ascii="仿宋" w:hAnsi="仿宋" w:eastAsia="仿宋"/>
          <w:b/>
          <w:color w:val="auto"/>
          <w:sz w:val="32"/>
          <w:szCs w:val="32"/>
        </w:rPr>
        <w:t>（二）“三公”经费财政拨款支出决算具体情况说明</w:t>
      </w:r>
      <w:bookmarkEnd w:id="32"/>
    </w:p>
    <w:p>
      <w:pPr>
        <w:spacing w:line="600" w:lineRule="exact"/>
        <w:ind w:firstLine="640"/>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年“三公”经费财政拨款支出决算中，因公出国（境）费支出决算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4.88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99.19</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0.04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0.81</w:t>
      </w:r>
      <w:r>
        <w:rPr>
          <w:rFonts w:ascii="仿宋" w:hAnsi="仿宋" w:eastAsia="仿宋"/>
          <w:color w:val="auto"/>
          <w:sz w:val="32"/>
          <w:szCs w:val="32"/>
        </w:rPr>
        <w:t>%</w:t>
      </w:r>
      <w:r>
        <w:rPr>
          <w:rFonts w:hint="eastAsia" w:ascii="仿宋" w:hAnsi="仿宋" w:eastAsia="仿宋"/>
          <w:color w:val="auto"/>
          <w:sz w:val="32"/>
          <w:szCs w:val="32"/>
        </w:rPr>
        <w:t>。具体情况如下：</w:t>
      </w:r>
    </w:p>
    <w:p>
      <w:pPr>
        <w:pStyle w:val="7"/>
        <w:rPr>
          <w:rFonts w:hint="eastAsia" w:ascii="仿宋" w:hAnsi="仿宋" w:eastAsia="仿宋"/>
          <w:color w:val="auto"/>
          <w:sz w:val="32"/>
          <w:szCs w:val="32"/>
          <w:lang w:eastAsia="zh-CN"/>
        </w:rPr>
      </w:pPr>
      <w:r>
        <w:rPr>
          <w:rFonts w:hint="eastAsia" w:ascii="仿宋" w:hAnsi="仿宋" w:eastAsia="仿宋"/>
          <w:b/>
          <w:color w:val="auto"/>
          <w:sz w:val="32"/>
          <w:szCs w:val="32"/>
          <w:lang w:val="en-US" w:eastAsia="zh-CN"/>
        </w:rPr>
        <w:drawing>
          <wp:inline distT="0" distB="0" distL="114300" distR="114300">
            <wp:extent cx="5524500" cy="2397125"/>
            <wp:effectExtent l="4445" t="4445" r="14605" b="17780"/>
            <wp:docPr id="10" name="图表 10" descr="7b0a202020202263686172745265734964223a2022323034373039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hint="eastAsia" w:ascii="仿宋" w:hAnsi="仿宋" w:eastAsia="仿宋"/>
          <w:color w:val="auto"/>
          <w:sz w:val="32"/>
          <w:szCs w:val="32"/>
        </w:rPr>
      </w:pPr>
    </w:p>
    <w:p>
      <w:pPr>
        <w:spacing w:line="600" w:lineRule="exact"/>
        <w:ind w:firstLine="640"/>
        <w:rPr>
          <w:rFonts w:hint="eastAsia" w:ascii="仿宋" w:hAnsi="仿宋" w:eastAsia="仿宋"/>
          <w:color w:val="auto"/>
          <w:sz w:val="32"/>
          <w:szCs w:val="32"/>
        </w:rPr>
      </w:pP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default" w:ascii="Times New Roman" w:hAnsi="Times New Roman" w:eastAsia="仿宋_GB2312" w:cs="Times New Roman"/>
          <w:sz w:val="32"/>
          <w:szCs w:val="32"/>
        </w:rPr>
        <w:t>主要原因是</w:t>
      </w:r>
      <w:r>
        <w:rPr>
          <w:rFonts w:hint="default" w:ascii="Times New Roman" w:hAnsi="Times New Roman" w:eastAsia="仿宋" w:cs="Times New Roman"/>
          <w:sz w:val="32"/>
          <w:szCs w:val="32"/>
          <w:lang w:val="en-US" w:eastAsia="zh-CN"/>
        </w:rPr>
        <w:t>受新冠肺炎疫情影响，2020年未组织因公出国（境）活动</w:t>
      </w:r>
      <w:r>
        <w:rPr>
          <w:rFonts w:hint="default" w:ascii="Times New Roman" w:hAnsi="Times New Roman" w:eastAsia="仿宋_GB2312" w:cs="Times New Roman"/>
          <w:sz w:val="32"/>
          <w:szCs w:val="32"/>
        </w:rPr>
        <w:t>。</w:t>
      </w:r>
    </w:p>
    <w:p>
      <w:pPr>
        <w:spacing w:line="600" w:lineRule="exact"/>
        <w:ind w:firstLine="640"/>
        <w:rPr>
          <w:rFonts w:ascii="仿宋_GB2312" w:eastAsia="仿宋_GB2312"/>
          <w:b/>
          <w:color w:val="FF0000"/>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b/>
          <w:color w:val="auto"/>
          <w:sz w:val="32"/>
          <w:szCs w:val="32"/>
          <w:lang w:val="en-US" w:eastAsia="zh-CN"/>
        </w:rPr>
        <w:t>4.88</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48.8</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hint="eastAsia" w:ascii="仿宋_GB2312" w:eastAsia="仿宋_GB2312"/>
          <w:color w:val="auto"/>
          <w:sz w:val="32"/>
          <w:szCs w:val="32"/>
          <w:lang w:val="en-US" w:eastAsia="zh-CN"/>
        </w:rPr>
        <w:t>4.88</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2019年无相关支出</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，保障中心为</w:t>
      </w:r>
      <w:r>
        <w:rPr>
          <w:rFonts w:hint="eastAsia" w:ascii="仿宋_GB2312" w:eastAsia="仿宋_GB2312"/>
          <w:color w:val="auto"/>
          <w:sz w:val="32"/>
          <w:szCs w:val="32"/>
          <w:lang w:val="en-US" w:eastAsia="zh-CN"/>
        </w:rPr>
        <w:t>2机改后2019年新成立单位，2019年无公务用车运行维护费预算</w:t>
      </w:r>
      <w:r>
        <w:rPr>
          <w:rFonts w:hint="eastAsia" w:ascii="仿宋_GB2312" w:eastAsia="仿宋_GB2312"/>
          <w:color w:val="auto"/>
          <w:sz w:val="32"/>
          <w:szCs w:val="32"/>
        </w:rPr>
        <w:t>。</w:t>
      </w:r>
    </w:p>
    <w:p>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w:t>
      </w:r>
    </w:p>
    <w:p>
      <w:pPr>
        <w:spacing w:line="600" w:lineRule="exact"/>
        <w:ind w:firstLine="640"/>
        <w:rPr>
          <w:rFonts w:hint="default" w:ascii="Times New Roman" w:hAnsi="Times New Roman" w:eastAsia="仿宋_GB2312" w:cs="Times New Roman"/>
          <w:sz w:val="32"/>
          <w:szCs w:val="32"/>
        </w:rPr>
      </w:pPr>
      <w:r>
        <w:rPr>
          <w:rFonts w:hint="eastAsia" w:ascii="仿宋_GB2312" w:eastAsia="仿宋_GB2312"/>
          <w:b/>
          <w:color w:val="auto"/>
          <w:sz w:val="32"/>
          <w:szCs w:val="32"/>
        </w:rPr>
        <w:t>公务用车运行维护费支出</w:t>
      </w:r>
      <w:r>
        <w:rPr>
          <w:rFonts w:hint="eastAsia" w:ascii="仿宋_GB2312" w:eastAsia="仿宋_GB2312"/>
          <w:b/>
          <w:color w:val="auto"/>
          <w:sz w:val="32"/>
          <w:szCs w:val="32"/>
          <w:lang w:val="en-US" w:eastAsia="zh-CN"/>
        </w:rPr>
        <w:t>4.88</w:t>
      </w:r>
      <w:r>
        <w:rPr>
          <w:rFonts w:hint="eastAsia" w:ascii="仿宋_GB2312" w:eastAsia="仿宋_GB2312"/>
          <w:color w:val="auto"/>
          <w:sz w:val="32"/>
          <w:szCs w:val="32"/>
        </w:rPr>
        <w:t>万元。</w:t>
      </w:r>
      <w:r>
        <w:rPr>
          <w:rFonts w:hint="default" w:ascii="Times New Roman" w:hAnsi="Times New Roman" w:eastAsia="仿宋_GB2312" w:cs="Times New Roman"/>
          <w:sz w:val="32"/>
          <w:szCs w:val="32"/>
        </w:rPr>
        <w:t>主要用于</w:t>
      </w:r>
      <w:r>
        <w:rPr>
          <w:rFonts w:hint="default" w:ascii="Times New Roman" w:hAnsi="Times New Roman" w:eastAsia="仿宋" w:cs="Times New Roman"/>
          <w:color w:val="000000"/>
          <w:sz w:val="32"/>
          <w:szCs w:val="32"/>
        </w:rPr>
        <w:t>安全生产类和自然灾害类等突发事件的应急救援</w:t>
      </w:r>
      <w:r>
        <w:rPr>
          <w:rFonts w:hint="eastAsia" w:ascii="Times New Roman" w:hAnsi="Times New Roman" w:eastAsia="仿宋" w:cs="Times New Roman"/>
          <w:color w:val="000000"/>
          <w:sz w:val="32"/>
          <w:szCs w:val="32"/>
          <w:lang w:eastAsia="zh-CN"/>
        </w:rPr>
        <w:t>保障</w:t>
      </w:r>
      <w:r>
        <w:rPr>
          <w:rFonts w:hint="default" w:ascii="Times New Roman" w:hAnsi="Times New Roman" w:eastAsia="仿宋" w:cs="Times New Roman"/>
          <w:color w:val="000000"/>
          <w:sz w:val="32"/>
          <w:szCs w:val="32"/>
        </w:rPr>
        <w:t>等</w:t>
      </w:r>
      <w:r>
        <w:rPr>
          <w:rFonts w:hint="default" w:ascii="Times New Roman" w:hAnsi="Times New Roman" w:eastAsia="仿宋_GB2312" w:cs="Times New Roman"/>
          <w:sz w:val="32"/>
          <w:szCs w:val="32"/>
        </w:rPr>
        <w:t>所需的公务用车燃料费、维修费、过路过桥费、保险费等支出。</w:t>
      </w:r>
    </w:p>
    <w:p>
      <w:pPr>
        <w:numPr>
          <w:ilvl w:val="0"/>
          <w:numId w:val="0"/>
        </w:numPr>
        <w:spacing w:line="60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lang w:val="en-US" w:eastAsia="zh-CN"/>
        </w:rPr>
        <w:t>3.</w:t>
      </w:r>
      <w:r>
        <w:rPr>
          <w:rFonts w:hint="eastAsia" w:ascii="仿宋_GB2312" w:eastAsia="仿宋_GB2312"/>
          <w:b/>
          <w:color w:val="auto"/>
          <w:sz w:val="32"/>
          <w:szCs w:val="32"/>
        </w:rPr>
        <w:t>公务接待费支出</w:t>
      </w:r>
      <w:r>
        <w:rPr>
          <w:rFonts w:hint="eastAsia" w:ascii="仿宋_GB2312" w:eastAsia="仿宋_GB2312"/>
          <w:b/>
          <w:color w:val="auto"/>
          <w:sz w:val="32"/>
          <w:szCs w:val="32"/>
          <w:lang w:val="en-US" w:eastAsia="zh-CN"/>
        </w:rPr>
        <w:t>0.04</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hint="eastAsia" w:ascii="仿宋_GB2312" w:eastAsia="仿宋_GB2312"/>
          <w:color w:val="auto"/>
          <w:sz w:val="32"/>
          <w:szCs w:val="32"/>
          <w:lang w:val="en-US" w:eastAsia="zh-CN"/>
        </w:rPr>
        <w:t>0.04</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2019年无相关支出。主要原因是，</w:t>
      </w:r>
      <w:r>
        <w:rPr>
          <w:rFonts w:hint="eastAsia" w:ascii="仿宋_GB2312" w:eastAsia="仿宋_GB2312"/>
          <w:color w:val="auto"/>
          <w:sz w:val="32"/>
          <w:szCs w:val="32"/>
          <w:lang w:eastAsia="zh-CN"/>
        </w:rPr>
        <w:t>保障中心为</w:t>
      </w:r>
      <w:r>
        <w:rPr>
          <w:rFonts w:hint="eastAsia" w:ascii="仿宋_GB2312" w:eastAsia="仿宋_GB2312"/>
          <w:color w:val="auto"/>
          <w:sz w:val="32"/>
          <w:szCs w:val="32"/>
          <w:lang w:val="en-US" w:eastAsia="zh-CN"/>
        </w:rPr>
        <w:t>机改后2019年新成立单位，2019年无公务接待费预算</w:t>
      </w:r>
      <w:r>
        <w:rPr>
          <w:rFonts w:hint="eastAsia" w:ascii="仿宋_GB2312" w:eastAsia="仿宋_GB2312"/>
          <w:color w:val="auto"/>
          <w:sz w:val="32"/>
          <w:szCs w:val="32"/>
        </w:rPr>
        <w:t>。</w:t>
      </w:r>
    </w:p>
    <w:p>
      <w:pPr>
        <w:numPr>
          <w:ilvl w:val="0"/>
          <w:numId w:val="0"/>
        </w:numPr>
        <w:spacing w:line="600" w:lineRule="exact"/>
        <w:ind w:firstLine="643" w:firstLineChars="200"/>
        <w:rPr>
          <w:rFonts w:ascii="仿宋_GB2312" w:eastAsia="仿宋_GB2312"/>
          <w:color w:val="auto"/>
          <w:sz w:val="32"/>
          <w:szCs w:val="32"/>
        </w:rPr>
      </w:pPr>
      <w:r>
        <w:rPr>
          <w:rFonts w:hint="eastAsia" w:ascii="仿宋" w:hAnsi="仿宋" w:eastAsia="仿宋"/>
          <w:b/>
          <w:color w:val="auto"/>
          <w:sz w:val="32"/>
          <w:szCs w:val="32"/>
        </w:rPr>
        <w:t>国内公务接待支出</w:t>
      </w:r>
      <w:r>
        <w:rPr>
          <w:rFonts w:hint="eastAsia" w:ascii="仿宋" w:hAnsi="仿宋" w:eastAsia="仿宋"/>
          <w:b/>
          <w:color w:val="auto"/>
          <w:sz w:val="32"/>
          <w:szCs w:val="32"/>
          <w:lang w:val="en-US" w:eastAsia="zh-CN"/>
        </w:rPr>
        <w:t>0.04</w:t>
      </w:r>
      <w:r>
        <w:rPr>
          <w:rFonts w:hint="eastAsia" w:ascii="仿宋_GB2312" w:eastAsia="仿宋_GB2312"/>
          <w:color w:val="auto"/>
          <w:sz w:val="32"/>
          <w:szCs w:val="32"/>
        </w:rPr>
        <w:t>万元，主要用</w:t>
      </w:r>
      <w:r>
        <w:rPr>
          <w:rFonts w:hint="eastAsia" w:ascii="仿宋_GB2312" w:eastAsia="仿宋_GB2312"/>
          <w:color w:val="auto"/>
          <w:sz w:val="32"/>
          <w:szCs w:val="32"/>
          <w:lang w:eastAsia="zh-CN"/>
        </w:rPr>
        <w:t>于</w:t>
      </w:r>
      <w:r>
        <w:rPr>
          <w:rFonts w:hint="eastAsia" w:ascii="仿宋_GB2312" w:eastAsia="仿宋_GB2312"/>
          <w:color w:val="auto"/>
          <w:sz w:val="32"/>
          <w:szCs w:val="32"/>
        </w:rPr>
        <w:t>执行公务用餐费等)。国内公务接待</w:t>
      </w:r>
      <w:r>
        <w:rPr>
          <w:rFonts w:hint="eastAsia" w:ascii="仿宋_GB2312" w:eastAsia="仿宋_GB2312"/>
          <w:color w:val="auto"/>
          <w:sz w:val="32"/>
          <w:szCs w:val="32"/>
          <w:lang w:val="en-US" w:eastAsia="zh-CN"/>
        </w:rPr>
        <w:t>1批</w:t>
      </w:r>
      <w:r>
        <w:rPr>
          <w:rFonts w:hint="eastAsia" w:ascii="仿宋_GB2312" w:eastAsia="仿宋_GB2312"/>
          <w:color w:val="auto"/>
          <w:sz w:val="32"/>
          <w:szCs w:val="32"/>
        </w:rPr>
        <w:t>次，</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0.04</w:t>
      </w:r>
      <w:r>
        <w:rPr>
          <w:rFonts w:hint="eastAsia" w:ascii="仿宋_GB2312" w:eastAsia="仿宋_GB2312"/>
          <w:color w:val="auto"/>
          <w:sz w:val="32"/>
          <w:szCs w:val="32"/>
        </w:rPr>
        <w:t>万元，具体内容包括</w:t>
      </w:r>
      <w:r>
        <w:rPr>
          <w:rFonts w:hint="eastAsia" w:ascii="仿宋_GB2312" w:eastAsia="仿宋_GB2312"/>
          <w:color w:val="auto"/>
          <w:sz w:val="32"/>
          <w:szCs w:val="32"/>
          <w:lang w:eastAsia="zh-CN"/>
        </w:rPr>
        <w:t>：用于</w:t>
      </w:r>
      <w:r>
        <w:rPr>
          <w:rFonts w:hint="default" w:ascii="Times New Roman" w:hAnsi="Times New Roman" w:eastAsia="仿宋" w:cs="Times New Roman"/>
          <w:color w:val="auto"/>
          <w:sz w:val="32"/>
          <w:szCs w:val="32"/>
          <w:lang w:val="en-US" w:eastAsia="zh-CN"/>
        </w:rPr>
        <w:t>公务活动</w:t>
      </w:r>
      <w:r>
        <w:rPr>
          <w:rFonts w:hint="eastAsia" w:eastAsia="仿宋" w:cs="Times New Roman"/>
          <w:color w:val="auto"/>
          <w:sz w:val="32"/>
          <w:szCs w:val="32"/>
          <w:lang w:val="en-US" w:eastAsia="zh-CN"/>
        </w:rPr>
        <w:t>接待</w:t>
      </w:r>
      <w:r>
        <w:rPr>
          <w:rFonts w:hint="eastAsia" w:ascii="仿宋_GB2312" w:eastAsia="仿宋_GB2312"/>
          <w:color w:val="auto"/>
          <w:sz w:val="32"/>
          <w:szCs w:val="32"/>
        </w:rPr>
        <w:t>。</w:t>
      </w:r>
    </w:p>
    <w:p>
      <w:pPr>
        <w:spacing w:line="600" w:lineRule="exact"/>
        <w:ind w:firstLine="643" w:firstLineChars="200"/>
        <w:rPr>
          <w:rFonts w:ascii="黑体" w:eastAsia="黑体"/>
          <w:color w:val="auto"/>
          <w:sz w:val="32"/>
          <w:szCs w:val="32"/>
        </w:rPr>
      </w:pPr>
      <w:r>
        <w:rPr>
          <w:rFonts w:hint="eastAsia" w:ascii="仿宋" w:hAnsi="仿宋" w:eastAsia="仿宋"/>
          <w:b/>
          <w:color w:val="auto"/>
          <w:sz w:val="32"/>
          <w:szCs w:val="32"/>
        </w:rPr>
        <w:t>外事接待支出</w:t>
      </w:r>
      <w:r>
        <w:rPr>
          <w:rFonts w:hint="eastAsia" w:ascii="仿宋" w:hAnsi="仿宋" w:eastAsia="仿宋"/>
          <w:b/>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bookmarkStart w:id="33" w:name="_Toc15396610"/>
      <w:bookmarkStart w:id="34" w:name="_Toc15377218"/>
    </w:p>
    <w:p>
      <w:pPr>
        <w:spacing w:line="600" w:lineRule="exact"/>
        <w:ind w:firstLine="640"/>
        <w:outlineLvl w:val="1"/>
        <w:rPr>
          <w:rStyle w:val="17"/>
          <w:rFonts w:ascii="黑体" w:hAnsi="黑体" w:eastAsia="黑体"/>
          <w:color w:val="auto"/>
        </w:rPr>
      </w:pPr>
      <w:r>
        <w:rPr>
          <w:rFonts w:hint="eastAsia" w:ascii="黑体" w:eastAsia="黑体"/>
          <w:color w:val="auto"/>
          <w:sz w:val="32"/>
          <w:szCs w:val="32"/>
        </w:rPr>
        <w:t>八、</w:t>
      </w:r>
      <w:r>
        <w:rPr>
          <w:rStyle w:val="17"/>
          <w:rFonts w:hint="eastAsia" w:ascii="黑体" w:hAnsi="黑体" w:eastAsia="黑体"/>
          <w:b w:val="0"/>
          <w:color w:val="auto"/>
        </w:rPr>
        <w:t>政府性基金预算支出决算情况说明</w:t>
      </w:r>
      <w:bookmarkEnd w:id="33"/>
      <w:bookmarkEnd w:id="34"/>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年政府性基金预算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5"/>
        </w:numPr>
        <w:spacing w:line="600" w:lineRule="exact"/>
        <w:ind w:firstLine="640"/>
        <w:outlineLvl w:val="1"/>
        <w:rPr>
          <w:rStyle w:val="17"/>
          <w:rFonts w:ascii="黑体" w:hAnsi="黑体" w:eastAsia="黑体"/>
          <w:b w:val="0"/>
          <w:color w:val="auto"/>
        </w:rPr>
      </w:pPr>
      <w:bookmarkStart w:id="35" w:name="_Toc15396611"/>
      <w:bookmarkStart w:id="36" w:name="_Toc15377219"/>
      <w:r>
        <w:rPr>
          <w:rStyle w:val="17"/>
          <w:rFonts w:hint="eastAsia" w:ascii="黑体" w:hAnsi="黑体" w:eastAsia="黑体"/>
          <w:b w:val="0"/>
          <w:color w:val="auto"/>
        </w:rPr>
        <w:t>国有资本经营预算支出决算情况说明</w:t>
      </w:r>
      <w:bookmarkEnd w:id="35"/>
      <w:bookmarkEnd w:id="36"/>
    </w:p>
    <w:p>
      <w:pPr>
        <w:spacing w:line="600" w:lineRule="exact"/>
        <w:ind w:firstLine="640"/>
        <w:rPr>
          <w:rFonts w:ascii="方正小标宋简体" w:hAnsi="方正小标宋简体" w:eastAsia="方正小标宋简体" w:cs="方正小标宋简体"/>
          <w:color w:val="auto"/>
          <w:sz w:val="44"/>
          <w:szCs w:val="44"/>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年国有资本经营预算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5"/>
        </w:numPr>
        <w:spacing w:line="600" w:lineRule="exact"/>
        <w:ind w:firstLine="640"/>
        <w:outlineLvl w:val="1"/>
        <w:rPr>
          <w:rStyle w:val="17"/>
          <w:rFonts w:hint="eastAsia" w:ascii="黑体" w:hAnsi="黑体" w:eastAsia="黑体"/>
          <w:b w:val="0"/>
          <w:color w:val="auto"/>
        </w:rPr>
      </w:pPr>
      <w:bookmarkStart w:id="37" w:name="_Toc15377221"/>
      <w:bookmarkStart w:id="38" w:name="_Toc15396612"/>
      <w:r>
        <w:rPr>
          <w:rStyle w:val="17"/>
          <w:rFonts w:hint="eastAsia" w:ascii="黑体" w:hAnsi="黑体" w:eastAsia="黑体"/>
          <w:b w:val="0"/>
          <w:color w:val="auto"/>
        </w:rPr>
        <w:t>其他重要事项的情况说明</w:t>
      </w:r>
      <w:bookmarkEnd w:id="37"/>
      <w:bookmarkEnd w:id="38"/>
    </w:p>
    <w:p>
      <w:pPr>
        <w:spacing w:line="600" w:lineRule="exact"/>
        <w:ind w:firstLine="643" w:firstLineChars="200"/>
        <w:outlineLvl w:val="2"/>
        <w:rPr>
          <w:rFonts w:ascii="仿宋" w:hAnsi="仿宋" w:eastAsia="仿宋"/>
          <w:color w:val="auto"/>
          <w:sz w:val="32"/>
          <w:szCs w:val="32"/>
        </w:rPr>
      </w:pPr>
      <w:bookmarkStart w:id="39" w:name="_Toc15377222"/>
      <w:r>
        <w:rPr>
          <w:rFonts w:hint="eastAsia" w:ascii="仿宋" w:hAnsi="仿宋" w:eastAsia="仿宋"/>
          <w:b/>
          <w:color w:val="auto"/>
          <w:sz w:val="32"/>
          <w:szCs w:val="32"/>
        </w:rPr>
        <w:t>（一）机关运行经费支出情况</w:t>
      </w:r>
      <w:bookmarkEnd w:id="39"/>
    </w:p>
    <w:p>
      <w:pPr>
        <w:spacing w:line="600" w:lineRule="exact"/>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eastAsia="zh-CN"/>
        </w:rPr>
        <w:t>保障中心</w:t>
      </w:r>
      <w:r>
        <w:rPr>
          <w:rFonts w:hint="eastAsia" w:ascii="仿宋_GB2312" w:eastAsia="仿宋_GB2312"/>
          <w:color w:val="auto"/>
          <w:sz w:val="32"/>
          <w:szCs w:val="32"/>
        </w:rPr>
        <w:t>机关运行经费支出</w:t>
      </w:r>
      <w:r>
        <w:rPr>
          <w:rFonts w:hint="eastAsia" w:ascii="仿宋_GB2312" w:eastAsia="仿宋_GB2312"/>
          <w:color w:val="auto"/>
          <w:sz w:val="32"/>
          <w:szCs w:val="32"/>
          <w:lang w:val="en-US" w:eastAsia="zh-CN"/>
        </w:rPr>
        <w:t>117.96</w:t>
      </w:r>
      <w:r>
        <w:rPr>
          <w:rFonts w:hint="eastAsia" w:ascii="仿宋_GB2312" w:eastAsia="仿宋_GB2312"/>
          <w:color w:val="auto"/>
          <w:sz w:val="32"/>
          <w:szCs w:val="32"/>
        </w:rPr>
        <w:t>万元，比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74.54</w:t>
      </w:r>
      <w:r>
        <w:rPr>
          <w:rFonts w:hint="eastAsia" w:ascii="仿宋_GB2312" w:eastAsia="仿宋_GB2312"/>
          <w:color w:val="auto"/>
          <w:sz w:val="32"/>
          <w:szCs w:val="32"/>
        </w:rPr>
        <w:t>万元，</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171.67%，主要原因是</w:t>
      </w:r>
      <w:r>
        <w:rPr>
          <w:rFonts w:hint="eastAsia" w:ascii="仿宋" w:hAnsi="仿宋" w:eastAsia="仿宋"/>
          <w:color w:val="auto"/>
          <w:sz w:val="32"/>
          <w:szCs w:val="32"/>
          <w:lang w:eastAsia="zh-CN"/>
        </w:rPr>
        <w:t>保障中心为机改后新成立部门，</w:t>
      </w:r>
      <w:r>
        <w:rPr>
          <w:rFonts w:hint="eastAsia" w:ascii="仿宋" w:hAnsi="仿宋" w:eastAsia="仿宋"/>
          <w:color w:val="auto"/>
          <w:sz w:val="32"/>
          <w:szCs w:val="32"/>
          <w:lang w:val="en-US" w:eastAsia="zh-CN"/>
        </w:rPr>
        <w:t xml:space="preserve">2020年中人员增幅较大，2019年年底保障中心实有人员5人，2020年考/调入32人，人员经费和项目经费增加较大。 </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0" w:name="_Toc15377223"/>
      <w:r>
        <w:rPr>
          <w:rFonts w:hint="eastAsia" w:ascii="仿宋" w:hAnsi="仿宋" w:eastAsia="仿宋"/>
          <w:b/>
          <w:color w:val="auto"/>
          <w:sz w:val="32"/>
          <w:szCs w:val="32"/>
        </w:rPr>
        <w:t>（二）政府采购支出情况</w:t>
      </w:r>
      <w:bookmarkEnd w:id="40"/>
    </w:p>
    <w:p>
      <w:pPr>
        <w:spacing w:line="600" w:lineRule="exact"/>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eastAsia="zh-CN"/>
        </w:rPr>
        <w:t>保障中心</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148.42</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18.10</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130.32</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后勤劳务外包服务采购项目</w:t>
      </w:r>
      <w:r>
        <w:rPr>
          <w:rFonts w:hint="eastAsia" w:ascii="仿宋_GB2312" w:eastAsia="仿宋_GB2312"/>
          <w:color w:val="auto"/>
          <w:sz w:val="32"/>
          <w:szCs w:val="32"/>
          <w:lang w:val="en-US" w:eastAsia="zh-CN"/>
        </w:rPr>
        <w:t>支出130.32</w:t>
      </w:r>
      <w:r>
        <w:rPr>
          <w:rFonts w:hint="eastAsia" w:ascii="仿宋_GB2312" w:eastAsia="仿宋_GB2312"/>
          <w:color w:val="auto"/>
          <w:sz w:val="32"/>
          <w:szCs w:val="32"/>
        </w:rPr>
        <w:t>万元</w:t>
      </w:r>
      <w:r>
        <w:rPr>
          <w:rFonts w:hint="eastAsia" w:ascii="仿宋_GB2312" w:eastAsia="仿宋_GB2312"/>
          <w:color w:val="auto"/>
          <w:sz w:val="32"/>
          <w:szCs w:val="32"/>
          <w:lang w:eastAsia="zh-CN"/>
        </w:rPr>
        <w:t>，办公家具及设备采购</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18.10</w:t>
      </w:r>
      <w:r>
        <w:rPr>
          <w:rFonts w:hint="eastAsia" w:ascii="仿宋_GB2312" w:eastAsia="仿宋_GB2312"/>
          <w:color w:val="auto"/>
          <w:sz w:val="32"/>
          <w:szCs w:val="32"/>
        </w:rPr>
        <w:t>万元。授予中小企业合同金额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1" w:name="_Toc15377224"/>
      <w:r>
        <w:rPr>
          <w:rFonts w:hint="eastAsia" w:ascii="仿宋" w:hAnsi="仿宋" w:eastAsia="仿宋"/>
          <w:b/>
          <w:color w:val="auto"/>
          <w:sz w:val="32"/>
          <w:szCs w:val="32"/>
        </w:rPr>
        <w:t>（三）国有资产占有使用情况</w:t>
      </w:r>
      <w:bookmarkEnd w:id="41"/>
    </w:p>
    <w:p>
      <w:pPr>
        <w:autoSpaceDE w:val="0"/>
        <w:autoSpaceDN w:val="0"/>
        <w:adjustRightInd w:val="0"/>
        <w:spacing w:line="60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eastAsia="zh-CN"/>
        </w:rPr>
        <w:t>保障中心</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_GB2312" w:eastAsia="仿宋_GB2312"/>
          <w:color w:val="auto"/>
          <w:sz w:val="32"/>
          <w:szCs w:val="32"/>
        </w:rPr>
        <w:t>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lang w:eastAsia="zh-CN"/>
        </w:rPr>
      </w:pPr>
      <w:r>
        <w:rPr>
          <w:rFonts w:hint="eastAsia" w:ascii="仿宋" w:hAnsi="仿宋" w:eastAsia="仿宋"/>
          <w:b/>
          <w:color w:val="auto"/>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w:t>
      </w:r>
      <w:r>
        <w:rPr>
          <w:rFonts w:hint="eastAsia" w:ascii="仿宋_GB2312" w:hAnsi="仿宋_GB2312" w:eastAsia="仿宋_GB2312" w:cs="仿宋_GB2312"/>
          <w:color w:val="auto"/>
          <w:sz w:val="32"/>
          <w:szCs w:val="32"/>
          <w:lang w:val="en-US" w:eastAsia="zh-CN"/>
        </w:rPr>
        <w:t>2020年度</w:t>
      </w:r>
      <w:r>
        <w:rPr>
          <w:rFonts w:hint="eastAsia" w:ascii="仿宋_GB2312" w:hAnsi="仿宋_GB2312" w:eastAsia="仿宋_GB2312" w:cs="仿宋_GB2312"/>
          <w:color w:val="auto"/>
          <w:sz w:val="32"/>
          <w:szCs w:val="32"/>
        </w:rPr>
        <w:t>预算编制阶段，组织对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个项目开展了绩效目标完成情况自评。</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本单位按要求对2020年整体支出开展绩效自评，</w:t>
      </w:r>
      <w:r>
        <w:rPr>
          <w:rFonts w:hint="default" w:ascii="Times New Roman" w:hAnsi="Times New Roman" w:eastAsia="仿宋" w:cs="Times New Roman"/>
          <w:sz w:val="32"/>
          <w:szCs w:val="32"/>
          <w:lang w:val="en-US" w:eastAsia="zh-CN"/>
        </w:rPr>
        <w:t>从评价情况来看，</w:t>
      </w:r>
      <w:r>
        <w:rPr>
          <w:rFonts w:hint="default" w:ascii="Times New Roman" w:hAnsi="Times New Roman" w:eastAsia="仿宋" w:cs="Times New Roman"/>
          <w:sz w:val="32"/>
          <w:szCs w:val="32"/>
          <w:lang w:val="zh-CN" w:eastAsia="zh-CN"/>
        </w:rPr>
        <w:t>我部门20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lang w:val="zh-CN" w:eastAsia="zh-CN"/>
        </w:rPr>
        <w:t>年的项目决策科学合理，项目管理规范有序，项目完成保质保量，从计划实施，项目立项到资金监管等方面，程序规范，确保了财政资金规范高效使用</w:t>
      </w:r>
      <w:r>
        <w:rPr>
          <w:rFonts w:hint="default" w:ascii="Times New Roman" w:hAnsi="Times New Roman" w:eastAsia="仿宋_GB2312" w:cs="Times New Roman"/>
          <w:sz w:val="32"/>
          <w:szCs w:val="32"/>
        </w:rPr>
        <w:t>。本单位还自行组织了</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个项目支出绩效评价，</w:t>
      </w:r>
      <w:r>
        <w:rPr>
          <w:rFonts w:hint="default" w:ascii="Times New Roman" w:hAnsi="Times New Roman" w:eastAsia="仿宋" w:cs="Times New Roman"/>
          <w:sz w:val="32"/>
          <w:szCs w:val="32"/>
          <w:lang w:val="en-US" w:eastAsia="zh-CN"/>
        </w:rPr>
        <w:t>从评价情况来看，基本完成了项目绩效要求，保障了我省应急</w:t>
      </w:r>
      <w:r>
        <w:rPr>
          <w:rFonts w:hint="eastAsia" w:ascii="Times New Roman" w:hAnsi="Times New Roman" w:eastAsia="仿宋" w:cs="Times New Roman"/>
          <w:sz w:val="32"/>
          <w:szCs w:val="32"/>
          <w:lang w:val="en-US" w:eastAsia="zh-CN"/>
        </w:rPr>
        <w:t>保障工作</w:t>
      </w:r>
      <w:r>
        <w:rPr>
          <w:rFonts w:hint="default" w:ascii="Times New Roman" w:hAnsi="Times New Roman" w:eastAsia="仿宋" w:cs="Times New Roman"/>
          <w:sz w:val="32"/>
          <w:szCs w:val="32"/>
          <w:lang w:val="en-US" w:eastAsia="zh-CN"/>
        </w:rPr>
        <w:t>的顺利开展</w:t>
      </w:r>
      <w:r>
        <w:rPr>
          <w:rFonts w:hint="default" w:ascii="Times New Roman" w:hAnsi="Times New Roman" w:eastAsia="仿宋_GB2312" w:cs="Times New Roman"/>
          <w:sz w:val="32"/>
          <w:szCs w:val="32"/>
        </w:rPr>
        <w:t>。</w:t>
      </w:r>
    </w:p>
    <w:p>
      <w:pPr>
        <w:numPr>
          <w:ilvl w:val="0"/>
          <w:numId w:val="6"/>
        </w:numPr>
        <w:spacing w:line="58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项目绩效目标完成情况。</w:t>
      </w:r>
    </w:p>
    <w:p>
      <w:pPr>
        <w:numPr>
          <w:ilvl w:val="0"/>
          <w:numId w:val="6"/>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在20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年度部门决算中反映“</w:t>
      </w:r>
      <w:r>
        <w:rPr>
          <w:rFonts w:hint="eastAsia" w:ascii="仿宋_GB2312" w:hAnsi="仿宋_GB2312" w:eastAsia="仿宋_GB2312" w:cs="仿宋_GB2312"/>
          <w:color w:val="auto"/>
          <w:sz w:val="32"/>
          <w:szCs w:val="32"/>
          <w:lang w:val="en-US" w:eastAsia="zh-CN"/>
        </w:rPr>
        <w:t>后勤劳务外包服务采购项目</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应急管理综合保障经费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个项目绩效目标实际完成情况。</w:t>
      </w:r>
    </w:p>
    <w:p>
      <w:pPr>
        <w:numPr>
          <w:ilvl w:val="0"/>
          <w:numId w:val="7"/>
        </w:num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后勤劳务外包服务采购项目</w:t>
      </w:r>
      <w:r>
        <w:rPr>
          <w:rFonts w:hint="eastAsia" w:ascii="仿宋_GB2312" w:hAnsi="仿宋_GB2312" w:eastAsia="仿宋_GB2312" w:cs="仿宋_GB2312"/>
          <w:color w:val="auto"/>
          <w:sz w:val="32"/>
          <w:szCs w:val="32"/>
        </w:rPr>
        <w:t>绩效目标完成情况综述。项目全年预算数</w:t>
      </w:r>
      <w:r>
        <w:rPr>
          <w:rFonts w:hint="eastAsia" w:ascii="仿宋_GB2312" w:hAnsi="仿宋_GB2312" w:eastAsia="仿宋_GB2312" w:cs="仿宋_GB2312"/>
          <w:color w:val="auto"/>
          <w:sz w:val="32"/>
          <w:szCs w:val="32"/>
          <w:lang w:val="en-US" w:eastAsia="zh-CN"/>
        </w:rPr>
        <w:t>275</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274.74</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99.91</w:t>
      </w:r>
      <w:r>
        <w:rPr>
          <w:rFonts w:hint="eastAsia" w:ascii="仿宋_GB2312" w:hAnsi="仿宋_GB2312" w:eastAsia="仿宋_GB2312" w:cs="仿宋_GB2312"/>
          <w:color w:val="auto"/>
          <w:sz w:val="32"/>
          <w:szCs w:val="32"/>
        </w:rPr>
        <w:t>%。通过项目实施，</w:t>
      </w:r>
      <w:r>
        <w:rPr>
          <w:rFonts w:hint="eastAsia" w:ascii="仿宋_GB2312" w:hAnsi="仿宋_GB2312" w:eastAsia="仿宋_GB2312" w:cs="仿宋_GB2312"/>
          <w:color w:val="auto"/>
          <w:sz w:val="32"/>
          <w:szCs w:val="32"/>
          <w:lang w:val="en-US" w:eastAsia="zh-CN"/>
        </w:rPr>
        <w:t>为厅机关提供驾驶、会务等后勤保障服务。</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 w:val="36"/>
                <w:szCs w:val="36"/>
                <w:lang w:eastAsia="zh-CN" w:bidi="ar"/>
              </w:rPr>
            </w:pPr>
            <w:r>
              <w:rPr>
                <w:rFonts w:hint="eastAsia" w:ascii="宋体" w:hAnsi="宋体" w:cs="宋体"/>
                <w:b/>
                <w:bCs/>
                <w:color w:val="auto"/>
                <w:kern w:val="0"/>
                <w:sz w:val="36"/>
                <w:szCs w:val="36"/>
                <w:lang w:bidi="ar"/>
              </w:rPr>
              <w:t>项目绩效目标完成情况表</w:t>
            </w:r>
          </w:p>
          <w:p>
            <w:pPr>
              <w:widowControl/>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仿宋_GB2312" w:hAnsi="仿宋_GB2312" w:eastAsia="仿宋_GB2312" w:cs="仿宋_GB2312"/>
                <w:color w:val="auto"/>
                <w:sz w:val="32"/>
                <w:szCs w:val="32"/>
                <w:lang w:val="en-US" w:eastAsia="zh-CN"/>
              </w:rPr>
              <w:t>后勤劳务外包服务采购项目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四川省应急管理保障中心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275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274.74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275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274.74</w:t>
            </w:r>
          </w:p>
        </w:tc>
      </w:tr>
      <w:tr>
        <w:tblPrEx>
          <w:tblCellMar>
            <w:top w:w="0" w:type="dxa"/>
            <w:left w:w="0" w:type="dxa"/>
            <w:bottom w:w="0" w:type="dxa"/>
            <w:right w:w="0" w:type="dxa"/>
          </w:tblCellMar>
        </w:tblPrEx>
        <w:trPr>
          <w:trHeight w:val="141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98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eastAsia="仿宋" w:cs="Times New Roman"/>
                <w:sz w:val="32"/>
                <w:szCs w:val="32"/>
                <w:lang w:val="en-US" w:eastAsia="zh-CN"/>
              </w:rPr>
              <w:t>通过购买服务，为机关提供</w:t>
            </w:r>
            <w:r>
              <w:rPr>
                <w:rFonts w:hint="eastAsia" w:ascii="仿宋" w:hAnsi="仿宋" w:eastAsia="仿宋"/>
                <w:color w:val="000000"/>
                <w:sz w:val="30"/>
                <w:szCs w:val="30"/>
              </w:rPr>
              <w:t>驾驶</w:t>
            </w:r>
            <w:r>
              <w:rPr>
                <w:rFonts w:hint="eastAsia" w:ascii="仿宋" w:hAnsi="仿宋" w:eastAsia="仿宋"/>
                <w:color w:val="000000"/>
                <w:sz w:val="30"/>
                <w:szCs w:val="30"/>
                <w:lang w:eastAsia="zh-CN"/>
              </w:rPr>
              <w:t>、</w:t>
            </w:r>
            <w:r>
              <w:rPr>
                <w:rFonts w:hint="eastAsia" w:ascii="仿宋" w:hAnsi="仿宋" w:eastAsia="仿宋"/>
                <w:color w:val="000000"/>
                <w:sz w:val="30"/>
                <w:szCs w:val="30"/>
                <w:lang w:val="en-US" w:eastAsia="zh-CN"/>
              </w:rPr>
              <w:t>文印、会务、后勤事务</w:t>
            </w:r>
            <w:r>
              <w:rPr>
                <w:rFonts w:hint="eastAsia" w:ascii="仿宋" w:hAnsi="仿宋" w:eastAsia="仿宋"/>
                <w:color w:val="000000"/>
                <w:sz w:val="30"/>
                <w:szCs w:val="30"/>
                <w:lang w:eastAsia="zh-CN"/>
              </w:rPr>
              <w:t>服务，</w:t>
            </w:r>
            <w:r>
              <w:rPr>
                <w:rFonts w:hint="eastAsia" w:ascii="仿宋" w:hAnsi="仿宋" w:eastAsia="仿宋"/>
                <w:color w:val="000000"/>
                <w:sz w:val="30"/>
                <w:szCs w:val="30"/>
                <w:lang w:val="en-US" w:eastAsia="zh-CN"/>
              </w:rPr>
              <w:t>保障</w:t>
            </w:r>
            <w:r>
              <w:rPr>
                <w:rFonts w:hint="eastAsia" w:ascii="仿宋" w:hAnsi="仿宋" w:eastAsia="仿宋"/>
                <w:color w:val="000000"/>
                <w:sz w:val="30"/>
                <w:szCs w:val="30"/>
              </w:rPr>
              <w:t>日常和应急出动需要。</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eastAsia="仿宋" w:cs="Times New Roman"/>
                <w:sz w:val="32"/>
                <w:szCs w:val="32"/>
                <w:lang w:val="en-US" w:eastAsia="zh-CN"/>
              </w:rPr>
              <w:t>一是</w:t>
            </w:r>
            <w:r>
              <w:rPr>
                <w:rFonts w:hint="eastAsia" w:ascii="仿宋" w:hAnsi="仿宋" w:eastAsia="仿宋"/>
                <w:color w:val="000000"/>
                <w:sz w:val="30"/>
                <w:szCs w:val="30"/>
                <w:lang w:eastAsia="zh-CN"/>
              </w:rPr>
              <w:t>是</w:t>
            </w:r>
            <w:r>
              <w:rPr>
                <w:rFonts w:hint="eastAsia" w:ascii="仿宋" w:hAnsi="仿宋" w:eastAsia="仿宋"/>
                <w:color w:val="000000"/>
                <w:sz w:val="30"/>
                <w:szCs w:val="30"/>
              </w:rPr>
              <w:t>提供</w:t>
            </w:r>
            <w:r>
              <w:rPr>
                <w:rFonts w:hint="eastAsia" w:ascii="仿宋" w:hAnsi="仿宋" w:eastAsia="仿宋"/>
                <w:color w:val="000000"/>
                <w:sz w:val="30"/>
                <w:szCs w:val="30"/>
                <w:lang w:eastAsia="zh-CN"/>
              </w:rPr>
              <w:t>了</w:t>
            </w:r>
            <w:r>
              <w:rPr>
                <w:rFonts w:hint="eastAsia" w:ascii="仿宋" w:hAnsi="仿宋" w:eastAsia="仿宋"/>
                <w:color w:val="000000"/>
                <w:sz w:val="30"/>
                <w:szCs w:val="30"/>
              </w:rPr>
              <w:t>驾驶员</w:t>
            </w:r>
            <w:r>
              <w:rPr>
                <w:rFonts w:hint="eastAsia" w:ascii="仿宋" w:hAnsi="仿宋" w:eastAsia="仿宋"/>
                <w:color w:val="000000"/>
                <w:sz w:val="30"/>
                <w:szCs w:val="30"/>
                <w:lang w:eastAsia="zh-CN"/>
              </w:rPr>
              <w:t>服务，确</w:t>
            </w:r>
            <w:r>
              <w:rPr>
                <w:rFonts w:hint="eastAsia" w:ascii="仿宋" w:hAnsi="仿宋" w:eastAsia="仿宋"/>
                <w:color w:val="000000"/>
                <w:sz w:val="30"/>
                <w:szCs w:val="30"/>
              </w:rPr>
              <w:t>保</w:t>
            </w:r>
            <w:r>
              <w:rPr>
                <w:rFonts w:hint="eastAsia" w:ascii="仿宋" w:hAnsi="仿宋" w:eastAsia="仿宋"/>
                <w:color w:val="000000"/>
                <w:sz w:val="30"/>
                <w:szCs w:val="30"/>
                <w:lang w:eastAsia="zh-CN"/>
              </w:rPr>
              <w:t>机关</w:t>
            </w:r>
            <w:r>
              <w:rPr>
                <w:rFonts w:hint="eastAsia" w:ascii="仿宋" w:hAnsi="仿宋" w:eastAsia="仿宋"/>
                <w:color w:val="000000"/>
                <w:sz w:val="30"/>
                <w:szCs w:val="30"/>
              </w:rPr>
              <w:t>日常需要和应急出动需要。</w:t>
            </w:r>
            <w:r>
              <w:rPr>
                <w:rFonts w:hint="eastAsia" w:ascii="仿宋" w:hAnsi="仿宋" w:eastAsia="仿宋"/>
                <w:color w:val="000000"/>
                <w:sz w:val="30"/>
                <w:szCs w:val="30"/>
                <w:lang w:eastAsia="zh-CN"/>
              </w:rPr>
              <w:t>二是提供了</w:t>
            </w:r>
            <w:r>
              <w:rPr>
                <w:rFonts w:hint="eastAsia" w:ascii="仿宋" w:hAnsi="仿宋" w:eastAsia="仿宋"/>
                <w:color w:val="000000"/>
                <w:sz w:val="30"/>
                <w:szCs w:val="30"/>
              </w:rPr>
              <w:t>文印服务</w:t>
            </w:r>
            <w:r>
              <w:rPr>
                <w:rFonts w:hint="eastAsia" w:ascii="仿宋" w:hAnsi="仿宋" w:eastAsia="仿宋"/>
                <w:color w:val="000000"/>
                <w:sz w:val="30"/>
                <w:szCs w:val="30"/>
                <w:lang w:eastAsia="zh-CN"/>
              </w:rPr>
              <w:t>，</w:t>
            </w:r>
            <w:r>
              <w:rPr>
                <w:rFonts w:hint="eastAsia" w:ascii="仿宋" w:hAnsi="仿宋" w:eastAsia="仿宋"/>
                <w:color w:val="000000"/>
                <w:sz w:val="30"/>
                <w:szCs w:val="30"/>
              </w:rPr>
              <w:t>后勤事务服务人</w:t>
            </w:r>
            <w:r>
              <w:rPr>
                <w:rFonts w:hint="eastAsia" w:ascii="仿宋" w:hAnsi="仿宋" w:eastAsia="仿宋"/>
                <w:color w:val="000000"/>
                <w:sz w:val="30"/>
                <w:szCs w:val="30"/>
                <w:lang w:eastAsia="zh-CN"/>
              </w:rPr>
              <w:t>和</w:t>
            </w:r>
            <w:r>
              <w:rPr>
                <w:rFonts w:hint="eastAsia" w:ascii="仿宋" w:hAnsi="仿宋" w:eastAsia="仿宋"/>
                <w:color w:val="000000"/>
                <w:sz w:val="30"/>
                <w:szCs w:val="30"/>
              </w:rPr>
              <w:t>会务服务</w:t>
            </w:r>
            <w:r>
              <w:rPr>
                <w:rFonts w:hint="eastAsia" w:ascii="仿宋" w:hAnsi="仿宋" w:eastAsia="仿宋"/>
                <w:color w:val="000000"/>
                <w:sz w:val="30"/>
                <w:szCs w:val="30"/>
                <w:lang w:eastAsia="zh-CN"/>
              </w:rPr>
              <w:t>。</w:t>
            </w:r>
            <w:r>
              <w:rPr>
                <w:rFonts w:hint="eastAsia" w:ascii="仿宋" w:hAnsi="仿宋" w:eastAsia="仿宋"/>
                <w:color w:val="000000"/>
                <w:sz w:val="30"/>
                <w:szCs w:val="30"/>
                <w:lang w:val="en-US" w:eastAsia="zh-CN"/>
              </w:rPr>
              <w:t>实现了保障</w:t>
            </w:r>
            <w:r>
              <w:rPr>
                <w:rFonts w:hint="eastAsia" w:ascii="仿宋" w:hAnsi="仿宋" w:eastAsia="仿宋"/>
                <w:color w:val="000000"/>
                <w:sz w:val="30"/>
                <w:szCs w:val="30"/>
              </w:rPr>
              <w:t>日常和应急出动需要。</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为机关提供会务</w:t>
            </w:r>
            <w:r>
              <w:rPr>
                <w:rFonts w:hint="eastAsia" w:ascii="宋体" w:hAnsi="宋体" w:cs="宋体"/>
                <w:color w:val="auto"/>
                <w:sz w:val="24"/>
                <w:lang w:eastAsia="zh-CN"/>
              </w:rPr>
              <w:t>驾驶、文印</w:t>
            </w:r>
            <w:r>
              <w:rPr>
                <w:rFonts w:hint="eastAsia" w:ascii="宋体" w:hAnsi="宋体" w:cs="宋体"/>
                <w:color w:val="auto"/>
                <w:sz w:val="24"/>
              </w:rPr>
              <w:t>等服务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保障机关会务、驾驶、文印、后勤</w:t>
            </w:r>
            <w:r>
              <w:rPr>
                <w:rFonts w:hint="eastAsia" w:ascii="宋体" w:hAnsi="宋体" w:cs="宋体"/>
                <w:color w:val="auto"/>
                <w:sz w:val="24"/>
                <w:lang w:val="en-US" w:eastAsia="zh-CN"/>
              </w:rPr>
              <w:t>等正常运行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仿宋" w:cs="宋体"/>
                <w:color w:val="auto"/>
                <w:sz w:val="24"/>
                <w:lang w:eastAsia="zh-CN"/>
              </w:rPr>
            </w:pPr>
            <w:r>
              <w:rPr>
                <w:rFonts w:hint="eastAsia" w:ascii="仿宋" w:hAnsi="仿宋" w:eastAsia="仿宋"/>
                <w:color w:val="000000"/>
                <w:sz w:val="30"/>
                <w:szCs w:val="30"/>
                <w:lang w:val="en-US" w:eastAsia="zh-CN"/>
              </w:rPr>
              <w:t>全面按照预期指标提供了相关服务，保障了</w:t>
            </w:r>
            <w:r>
              <w:rPr>
                <w:rFonts w:hint="eastAsia" w:ascii="仿宋" w:hAnsi="仿宋" w:eastAsia="仿宋"/>
                <w:color w:val="000000"/>
                <w:sz w:val="30"/>
                <w:szCs w:val="30"/>
              </w:rPr>
              <w:t>日常和应急出动需要</w:t>
            </w:r>
            <w:r>
              <w:rPr>
                <w:rFonts w:hint="eastAsia" w:ascii="仿宋" w:hAnsi="仿宋" w:eastAsia="仿宋"/>
                <w:color w:val="000000"/>
                <w:sz w:val="30"/>
                <w:szCs w:val="30"/>
                <w:lang w:eastAsia="zh-CN"/>
              </w:rPr>
              <w:t>。</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项目完成率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成本控制率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对机关影响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保障厅机关正常运行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保障厅机关正常运行</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96</w:t>
            </w:r>
            <w:r>
              <w:rPr>
                <w:rFonts w:hint="eastAsia" w:ascii="宋体" w:hAnsi="宋体" w:cs="宋体"/>
                <w:color w:val="auto"/>
                <w:sz w:val="24"/>
                <w:lang w:eastAsia="zh-CN"/>
              </w:rPr>
              <w:t>%</w:t>
            </w:r>
          </w:p>
        </w:tc>
      </w:tr>
    </w:tbl>
    <w:p>
      <w:pPr>
        <w:numPr>
          <w:ilvl w:val="0"/>
          <w:numId w:val="0"/>
        </w:numPr>
        <w:spacing w:line="580" w:lineRule="exact"/>
        <w:rPr>
          <w:rFonts w:hint="eastAsia" w:ascii="仿宋_GB2312" w:hAnsi="仿宋_GB2312" w:eastAsia="仿宋_GB2312" w:cs="仿宋_GB2312"/>
          <w:color w:val="FF0000"/>
          <w:sz w:val="32"/>
          <w:szCs w:val="32"/>
          <w:lang w:val="en-US" w:eastAsia="zh-CN"/>
        </w:rPr>
      </w:pPr>
    </w:p>
    <w:p>
      <w:pPr>
        <w:numPr>
          <w:ilvl w:val="0"/>
          <w:numId w:val="0"/>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应急管理综合保障经费</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131</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130.97</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99.98</w:t>
      </w:r>
      <w:r>
        <w:rPr>
          <w:rFonts w:hint="eastAsia" w:ascii="仿宋_GB2312" w:hAnsi="仿宋_GB2312" w:eastAsia="仿宋_GB2312" w:cs="仿宋_GB2312"/>
          <w:color w:val="auto"/>
          <w:sz w:val="32"/>
          <w:szCs w:val="32"/>
        </w:rPr>
        <w:t>%。通过项目实施，保障</w:t>
      </w:r>
      <w:r>
        <w:rPr>
          <w:rFonts w:hint="eastAsia" w:ascii="仿宋_GB2312" w:hAnsi="仿宋_GB2312" w:eastAsia="仿宋_GB2312" w:cs="仿宋_GB2312"/>
          <w:color w:val="auto"/>
          <w:sz w:val="32"/>
          <w:szCs w:val="32"/>
          <w:lang w:val="en-US" w:eastAsia="zh-CN"/>
        </w:rPr>
        <w:t>了机关综合后勤保障事务正常运行。</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936"/>
        <w:gridCol w:w="2481"/>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 w:val="36"/>
                <w:szCs w:val="36"/>
                <w:lang w:eastAsia="zh-CN" w:bidi="ar"/>
              </w:rPr>
            </w:pPr>
            <w:r>
              <w:rPr>
                <w:rFonts w:hint="eastAsia" w:ascii="宋体" w:hAnsi="宋体" w:cs="宋体"/>
                <w:b/>
                <w:bCs/>
                <w:color w:val="auto"/>
                <w:kern w:val="0"/>
                <w:sz w:val="36"/>
                <w:szCs w:val="36"/>
                <w:lang w:bidi="ar"/>
              </w:rPr>
              <w:t>项目绩效目标完成情况表</w:t>
            </w:r>
          </w:p>
          <w:p>
            <w:pPr>
              <w:widowControl/>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276" w:hRule="atLeast"/>
          <w:jc w:val="center"/>
        </w:trPr>
        <w:tc>
          <w:tcPr>
            <w:tcW w:w="26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2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应急管理综合保障经费</w:t>
            </w:r>
          </w:p>
        </w:tc>
      </w:tr>
      <w:tr>
        <w:tblPrEx>
          <w:tblCellMar>
            <w:top w:w="0" w:type="dxa"/>
            <w:left w:w="0" w:type="dxa"/>
            <w:bottom w:w="0" w:type="dxa"/>
            <w:right w:w="0" w:type="dxa"/>
          </w:tblCellMar>
        </w:tblPrEx>
        <w:trPr>
          <w:trHeight w:val="276" w:hRule="atLeast"/>
          <w:jc w:val="center"/>
        </w:trPr>
        <w:tc>
          <w:tcPr>
            <w:tcW w:w="26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2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四川省应急管理保障中心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130.97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23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960" w:firstLineChars="400"/>
              <w:jc w:val="both"/>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130.97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23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99.98%</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数量指标</w:t>
            </w: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保证</w:t>
            </w:r>
            <w:r>
              <w:rPr>
                <w:rFonts w:hint="eastAsia" w:ascii="宋体" w:hAnsi="宋体" w:cs="宋体"/>
                <w:color w:val="000000" w:themeColor="text1"/>
                <w:sz w:val="24"/>
                <w14:textFill>
                  <w14:solidFill>
                    <w14:schemeClr w14:val="tx1"/>
                  </w14:solidFill>
                </w14:textFill>
              </w:rPr>
              <w:t>聘用人员工资、社保、公积金等支出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保障后勤相关需要。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000000" w:themeColor="text1"/>
                <w:sz w:val="24"/>
                <w:lang w:val="en-US" w:eastAsia="zh-CN"/>
                <w14:textFill>
                  <w14:solidFill>
                    <w14:schemeClr w14:val="tx1"/>
                  </w14:solidFill>
                </w14:textFill>
              </w:rPr>
              <w:t>100%保证聘用人员相关支出；保障后勤重点支出，保障机关正常运转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全面按照预期目标完成，完成率100%。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质量指标</w:t>
            </w: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保障应急管理综合保障工作顺利进行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时效指标</w:t>
            </w: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项目完成率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成本指标</w:t>
            </w: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成本控制率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社会效益指标</w:t>
            </w: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应急管理保障工作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确保</w:t>
            </w:r>
            <w:r>
              <w:rPr>
                <w:rFonts w:hint="eastAsia" w:ascii="宋体" w:hAnsi="宋体" w:cs="宋体"/>
                <w:color w:val="auto"/>
                <w:sz w:val="24"/>
              </w:rPr>
              <w:t>全省应急管理综合保障工作正常运行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保障</w:t>
            </w:r>
            <w:r>
              <w:rPr>
                <w:rFonts w:hint="eastAsia" w:ascii="宋体" w:hAnsi="宋体" w:cs="宋体"/>
                <w:color w:val="auto"/>
                <w:sz w:val="24"/>
                <w:lang w:eastAsia="zh-CN"/>
              </w:rPr>
              <w:t>了</w:t>
            </w:r>
            <w:r>
              <w:rPr>
                <w:rFonts w:hint="eastAsia" w:ascii="宋体" w:hAnsi="宋体" w:cs="宋体"/>
                <w:color w:val="auto"/>
                <w:sz w:val="24"/>
              </w:rPr>
              <w:t>全省应急管理综合保障工作正常运行</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满意度指标</w:t>
            </w:r>
          </w:p>
        </w:tc>
        <w:tc>
          <w:tcPr>
            <w:tcW w:w="2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960" w:firstLineChars="400"/>
              <w:jc w:val="both"/>
              <w:textAlignment w:val="center"/>
              <w:rPr>
                <w:rFonts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7</w:t>
            </w:r>
            <w:r>
              <w:rPr>
                <w:rFonts w:hint="eastAsia" w:ascii="宋体" w:hAnsi="宋体" w:cs="宋体"/>
                <w:color w:val="auto"/>
                <w:sz w:val="24"/>
              </w:rPr>
              <w:t>%</w:t>
            </w:r>
          </w:p>
        </w:tc>
      </w:tr>
    </w:tbl>
    <w:p>
      <w:pPr>
        <w:spacing w:line="580" w:lineRule="exact"/>
        <w:rPr>
          <w:rFonts w:ascii="仿宋_GB2312" w:hAnsi="仿宋_GB2312" w:eastAsia="仿宋_GB2312" w:cs="仿宋_GB2312"/>
          <w:color w:val="auto"/>
          <w:sz w:val="32"/>
          <w:szCs w:val="32"/>
        </w:rPr>
      </w:pP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本单位自行组织对</w:t>
      </w:r>
      <w:r>
        <w:rPr>
          <w:rFonts w:hint="eastAsia" w:ascii="仿宋_GB2312" w:hAnsi="仿宋_GB2312" w:eastAsia="仿宋_GB2312" w:cs="仿宋_GB2312"/>
          <w:color w:val="auto"/>
          <w:sz w:val="32"/>
          <w:szCs w:val="32"/>
          <w:lang w:val="en-US" w:eastAsia="zh-CN"/>
        </w:rPr>
        <w:t>部门预算</w:t>
      </w:r>
      <w:r>
        <w:rPr>
          <w:rFonts w:hint="eastAsia" w:ascii="仿宋_GB2312" w:hAnsi="仿宋_GB2312" w:eastAsia="仿宋_GB2312" w:cs="仿宋_GB2312"/>
          <w:color w:val="auto"/>
          <w:sz w:val="32"/>
          <w:szCs w:val="32"/>
        </w:rPr>
        <w:t>项目开展了绩效评价，《</w:t>
      </w:r>
      <w:r>
        <w:rPr>
          <w:rFonts w:hint="default" w:ascii="Times New Roman" w:hAnsi="Times New Roman" w:eastAsia="仿宋_GB2312" w:cs="Times New Roman"/>
          <w:color w:val="auto"/>
          <w:sz w:val="32"/>
          <w:szCs w:val="32"/>
        </w:rPr>
        <w:t>2020年</w:t>
      </w:r>
      <w:r>
        <w:rPr>
          <w:rFonts w:hint="default" w:ascii="Times New Roman" w:hAnsi="Times New Roman" w:eastAsia="仿宋" w:cs="Times New Roman"/>
          <w:color w:val="auto"/>
          <w:sz w:val="32"/>
          <w:szCs w:val="32"/>
          <w:lang w:val="en-US" w:eastAsia="zh-CN"/>
        </w:rPr>
        <w:t>部门预算</w:t>
      </w:r>
      <w:r>
        <w:rPr>
          <w:rFonts w:hint="default" w:ascii="Times New Roman" w:hAnsi="Times New Roman" w:eastAsia="仿宋_GB2312" w:cs="Times New Roman"/>
          <w:color w:val="auto"/>
          <w:sz w:val="32"/>
          <w:szCs w:val="32"/>
        </w:rPr>
        <w:t>项目支出绩效自评报告</w:t>
      </w:r>
      <w:r>
        <w:rPr>
          <w:rFonts w:hint="eastAsia" w:ascii="仿宋_GB2312" w:hAnsi="仿宋_GB2312" w:eastAsia="仿宋_GB2312" w:cs="仿宋_GB2312"/>
          <w:color w:val="auto"/>
          <w:sz w:val="32"/>
          <w:szCs w:val="32"/>
        </w:rPr>
        <w:t>》见附件</w:t>
      </w:r>
      <w:r>
        <w:rPr>
          <w:rFonts w:hint="eastAsia" w:ascii="仿宋_GB2312" w:hAnsi="仿宋_GB2312" w:eastAsia="仿宋_GB2312" w:cs="仿宋_GB2312"/>
          <w:color w:val="auto"/>
          <w:sz w:val="32"/>
          <w:szCs w:val="32"/>
          <w:lang w:eastAsia="zh-CN"/>
        </w:rPr>
        <w:t>（第四部分）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numPr>
          <w:ilvl w:val="0"/>
          <w:numId w:val="8"/>
        </w:numPr>
        <w:spacing w:line="600" w:lineRule="exact"/>
        <w:ind w:firstLine="660" w:firstLineChars="150"/>
        <w:jc w:val="center"/>
        <w:outlineLvl w:val="0"/>
        <w:rPr>
          <w:rFonts w:hint="default" w:ascii="Times New Roman" w:hAnsi="Times New Roman" w:cs="Times New Roman"/>
          <w:b/>
          <w:color w:val="000000"/>
          <w:sz w:val="44"/>
          <w:szCs w:val="44"/>
        </w:rPr>
      </w:pPr>
      <w:bookmarkStart w:id="42" w:name="_Toc15377225"/>
      <w:bookmarkStart w:id="43" w:name="_Toc15396613"/>
      <w:bookmarkStart w:id="44" w:name="_Toc15377226"/>
      <w:r>
        <w:rPr>
          <w:rFonts w:hint="default" w:ascii="Times New Roman" w:hAnsi="Times New Roman" w:eastAsia="黑体" w:cs="Times New Roman"/>
          <w:color w:val="000000"/>
          <w:sz w:val="44"/>
          <w:szCs w:val="44"/>
        </w:rPr>
        <w:t>名</w:t>
      </w:r>
      <w:r>
        <w:rPr>
          <w:rStyle w:val="21"/>
          <w:rFonts w:hint="default" w:ascii="Times New Roman" w:hAnsi="Times New Roman" w:eastAsia="黑体" w:cs="Times New Roman"/>
          <w:b w:val="0"/>
        </w:rPr>
        <w:t>词解释</w:t>
      </w:r>
      <w:bookmarkEnd w:id="42"/>
      <w:bookmarkEnd w:id="43"/>
    </w:p>
    <w:p>
      <w:pPr>
        <w:pStyle w:val="20"/>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1.财政拨款收入：指单位从同级财政部门取得的财政预算资金。</w:t>
      </w:r>
    </w:p>
    <w:p>
      <w:pPr>
        <w:pStyle w:val="20"/>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2.事业收入：指事业单位开展专业业务活动及辅助活动取得的收入</w:t>
      </w:r>
      <w:r>
        <w:rPr>
          <w:rFonts w:hint="eastAsia" w:ascii="Times New Roman" w:hAnsi="Times New Roman" w:cs="Times New Roman"/>
          <w:color w:val="auto"/>
          <w:kern w:val="2"/>
          <w:sz w:val="32"/>
          <w:szCs w:val="32"/>
          <w:lang w:val="en-US" w:eastAsia="zh-CN" w:bidi="ar-SA"/>
        </w:rPr>
        <w:t>，保障中心无该项收入。</w:t>
      </w:r>
    </w:p>
    <w:p>
      <w:pPr>
        <w:pStyle w:val="20"/>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3.经营收入：指事业单位在专业业务活动及其辅助活动之外开展非独立核算经营活动取得的收入</w:t>
      </w:r>
      <w:r>
        <w:rPr>
          <w:rFonts w:hint="eastAsia" w:ascii="Times New Roman" w:hAnsi="Times New Roman" w:cs="Times New Roman"/>
          <w:color w:val="auto"/>
          <w:kern w:val="2"/>
          <w:sz w:val="32"/>
          <w:szCs w:val="32"/>
          <w:lang w:val="en-US" w:eastAsia="zh-CN" w:bidi="ar-SA"/>
        </w:rPr>
        <w:t>，保障中心无该项收入。</w:t>
      </w:r>
    </w:p>
    <w:p>
      <w:pPr>
        <w:pStyle w:val="20"/>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4.其他收入：指单位取得的除上述收入以外的各项收入。主要是投资收益、事业单位固定资产出租出借收入、存款利息收入等</w:t>
      </w:r>
      <w:r>
        <w:rPr>
          <w:rFonts w:hint="eastAsia" w:ascii="Times New Roman" w:hAnsi="Times New Roman" w:cs="Times New Roman"/>
          <w:color w:val="auto"/>
          <w:kern w:val="2"/>
          <w:sz w:val="32"/>
          <w:szCs w:val="32"/>
          <w:lang w:val="en-US" w:eastAsia="zh-CN" w:bidi="ar-SA"/>
        </w:rPr>
        <w:t>，保障中心无该项收入。</w:t>
      </w:r>
      <w:r>
        <w:rPr>
          <w:rFonts w:hint="default" w:ascii="Times New Roman" w:hAnsi="Times New Roman" w:eastAsia="仿宋" w:cs="Times New Roman"/>
          <w:color w:val="auto"/>
          <w:kern w:val="2"/>
          <w:sz w:val="32"/>
          <w:szCs w:val="32"/>
          <w:lang w:val="en-US" w:eastAsia="zh-CN" w:bidi="ar-SA"/>
        </w:rPr>
        <w:t xml:space="preserve"> </w:t>
      </w:r>
    </w:p>
    <w:p>
      <w:pPr>
        <w:pStyle w:val="20"/>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 xml:space="preserve">5.使用非财政拨款结余：指事业单位使用以前年度积累的非财政拨款结余弥补当年收支差额的金额。 </w:t>
      </w:r>
    </w:p>
    <w:p>
      <w:pPr>
        <w:pStyle w:val="20"/>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 xml:space="preserve">6.年初结转和结余：指以前年度尚未完成、结转到本年按有关规定继续使用的资金。 </w:t>
      </w:r>
    </w:p>
    <w:p>
      <w:pPr>
        <w:pStyle w:val="20"/>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7.结余分配：指事业单位按照会计制度规定缴纳的所得税、提取的专用结余以及转入非财政拨款结余的金额等。</w:t>
      </w:r>
    </w:p>
    <w:p>
      <w:pPr>
        <w:pStyle w:val="20"/>
        <w:spacing w:line="560" w:lineRule="exact"/>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8.年末结转和结余：指单位按有关规定结转到下年或以后年度继续使用的资金。</w:t>
      </w:r>
    </w:p>
    <w:p>
      <w:pPr>
        <w:ind w:firstLine="640" w:firstLineChars="200"/>
        <w:rPr>
          <w:rFonts w:hint="eastAsia" w:ascii="Times New Roman" w:hAnsi="Times New Roman"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9.一般公共服务（类）其他一般公共服务支出（款）其他一般公共服务支出（项）:</w:t>
      </w:r>
      <w:r>
        <w:rPr>
          <w:rFonts w:hint="eastAsia" w:ascii="Times New Roman" w:hAnsi="Times New Roman" w:eastAsia="仿宋" w:cs="Times New Roman"/>
          <w:color w:val="auto"/>
          <w:kern w:val="2"/>
          <w:sz w:val="32"/>
          <w:szCs w:val="32"/>
          <w:lang w:val="en-US" w:eastAsia="zh-CN" w:bidi="ar-SA"/>
        </w:rPr>
        <w:t>保障中心无该项</w:t>
      </w:r>
      <w:r>
        <w:rPr>
          <w:rFonts w:hint="eastAsia" w:eastAsia="仿宋" w:cs="Times New Roman"/>
          <w:color w:val="auto"/>
          <w:kern w:val="2"/>
          <w:sz w:val="32"/>
          <w:szCs w:val="32"/>
          <w:lang w:val="en-US" w:eastAsia="zh-CN" w:bidi="ar-SA"/>
        </w:rPr>
        <w:t>支出</w:t>
      </w:r>
      <w:r>
        <w:rPr>
          <w:rFonts w:hint="eastAsia" w:ascii="Times New Roman" w:hAnsi="Times New Roman" w:cs="Times New Roman"/>
          <w:color w:val="auto"/>
          <w:kern w:val="2"/>
          <w:sz w:val="32"/>
          <w:szCs w:val="32"/>
          <w:lang w:val="en-US" w:eastAsia="zh-CN" w:bidi="ar-SA"/>
        </w:rPr>
        <w:t>。</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10.教育（类）进修及培训（款）培训支出（项）: 指全省应急管理</w:t>
      </w:r>
      <w:r>
        <w:rPr>
          <w:rFonts w:hint="eastAsia" w:eastAsia="仿宋" w:cs="Times New Roman"/>
          <w:color w:val="auto"/>
          <w:kern w:val="2"/>
          <w:sz w:val="32"/>
          <w:szCs w:val="32"/>
          <w:lang w:val="en-US" w:eastAsia="zh-CN" w:bidi="ar-SA"/>
        </w:rPr>
        <w:t>综合保障</w:t>
      </w:r>
      <w:r>
        <w:rPr>
          <w:rFonts w:hint="default" w:ascii="Times New Roman" w:hAnsi="Times New Roman" w:eastAsia="仿宋" w:cs="Times New Roman"/>
          <w:color w:val="auto"/>
          <w:kern w:val="2"/>
          <w:sz w:val="32"/>
          <w:szCs w:val="32"/>
          <w:lang w:val="en-US" w:eastAsia="zh-CN" w:bidi="ar-SA"/>
        </w:rPr>
        <w:t>人员能力提升方面的培训。</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11.社会保障和就业（类）行政事业单位养老支出（款）行政单位离退休（项）:指行政及参公单位离退休人员费用支出。</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12.社会保障和就业（类）行政事业单位养老支出（款）机关事业单位基本养老保险缴费支出（项）:指在职职工养老保险支出。</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13.社会保障和就业（类）抚恤（款）死亡抚恤（项）:指去世人员抚恤金。</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14.卫生健康支出（类）行政事业单位医疗（款）行政单位医疗（项）:指在职职工的医疗保险支出。</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15.卫生健康支出（类）行政事业单位医疗（款）公务员医疗补助（项）:指公务员医疗补助缴费支出。</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16.住房保障支出（类）住房改革支出（款）住房公积金（项）:</w:t>
      </w:r>
      <w:r>
        <w:rPr>
          <w:rFonts w:hint="default" w:ascii="Times New Roman" w:hAnsi="Times New Roman" w:eastAsia="仿宋" w:cs="Times New Roman"/>
          <w:color w:val="000000"/>
          <w:sz w:val="32"/>
          <w:szCs w:val="32"/>
        </w:rPr>
        <w:t>指</w:t>
      </w:r>
      <w:r>
        <w:rPr>
          <w:rFonts w:hint="default" w:ascii="Times New Roman" w:hAnsi="Times New Roman" w:eastAsia="仿宋" w:cs="Times New Roman"/>
          <w:sz w:val="32"/>
        </w:rPr>
        <w:t>在职职工住房公积金支出</w:t>
      </w:r>
      <w:r>
        <w:rPr>
          <w:rFonts w:hint="default" w:ascii="Times New Roman" w:hAnsi="Times New Roman" w:eastAsia="仿宋" w:cs="Times New Roman"/>
          <w:color w:val="auto"/>
          <w:kern w:val="2"/>
          <w:sz w:val="32"/>
          <w:szCs w:val="32"/>
          <w:lang w:val="en-US" w:eastAsia="zh-CN" w:bidi="ar-SA"/>
        </w:rPr>
        <w:t>。</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w:t>
      </w:r>
      <w:r>
        <w:rPr>
          <w:rFonts w:hint="eastAsia" w:eastAsia="仿宋" w:cs="Times New Roman"/>
          <w:color w:val="auto"/>
          <w:kern w:val="2"/>
          <w:sz w:val="32"/>
          <w:szCs w:val="32"/>
          <w:lang w:val="en-US" w:eastAsia="zh-CN" w:bidi="ar-SA"/>
        </w:rPr>
        <w:t>7</w:t>
      </w:r>
      <w:r>
        <w:rPr>
          <w:rFonts w:hint="default" w:ascii="Times New Roman" w:hAnsi="Times New Roman" w:eastAsia="仿宋" w:cs="Times New Roman"/>
          <w:color w:val="auto"/>
          <w:kern w:val="2"/>
          <w:sz w:val="32"/>
          <w:szCs w:val="32"/>
          <w:lang w:val="en-US" w:eastAsia="zh-CN" w:bidi="ar-SA"/>
        </w:rPr>
        <w:t>.住房保障支出（类）住房改革支出（款）购房补贴（项）:</w:t>
      </w:r>
      <w:r>
        <w:rPr>
          <w:rFonts w:hint="default" w:ascii="Times New Roman" w:hAnsi="Times New Roman" w:eastAsia="仿宋" w:cs="Times New Roman"/>
          <w:color w:val="000000"/>
          <w:sz w:val="32"/>
          <w:szCs w:val="32"/>
        </w:rPr>
        <w:t>指</w:t>
      </w:r>
      <w:r>
        <w:rPr>
          <w:rFonts w:hint="default" w:ascii="Times New Roman" w:hAnsi="Times New Roman" w:eastAsia="仿宋" w:cs="Times New Roman"/>
          <w:sz w:val="32"/>
        </w:rPr>
        <w:t>在职职工购房补贴支出</w:t>
      </w:r>
      <w:r>
        <w:rPr>
          <w:rFonts w:hint="default" w:ascii="Times New Roman" w:hAnsi="Times New Roman" w:eastAsia="仿宋" w:cs="Times New Roman"/>
          <w:color w:val="auto"/>
          <w:kern w:val="2"/>
          <w:sz w:val="32"/>
          <w:szCs w:val="32"/>
          <w:lang w:val="en-US" w:eastAsia="zh-CN" w:bidi="ar-SA"/>
        </w:rPr>
        <w:t>。</w:t>
      </w:r>
    </w:p>
    <w:p>
      <w:pPr>
        <w:ind w:firstLine="640" w:firstLineChars="200"/>
        <w:rPr>
          <w:rFonts w:hint="default" w:ascii="Times New Roman" w:hAnsi="Times New Roman" w:eastAsia="仿宋" w:cs="Times New Roman"/>
          <w:color w:val="auto"/>
          <w:sz w:val="32"/>
          <w:lang w:val="en-US" w:eastAsia="zh-CN"/>
        </w:rPr>
      </w:pPr>
      <w:r>
        <w:rPr>
          <w:rFonts w:hint="default" w:ascii="Times New Roman" w:hAnsi="Times New Roman" w:eastAsia="仿宋" w:cs="Times New Roman"/>
          <w:color w:val="auto"/>
          <w:kern w:val="2"/>
          <w:sz w:val="32"/>
          <w:szCs w:val="32"/>
          <w:lang w:val="en-US" w:eastAsia="zh-CN" w:bidi="ar-SA"/>
        </w:rPr>
        <w:t>1</w:t>
      </w:r>
      <w:r>
        <w:rPr>
          <w:rFonts w:hint="eastAsia" w:eastAsia="仿宋" w:cs="Times New Roman"/>
          <w:color w:val="auto"/>
          <w:kern w:val="2"/>
          <w:sz w:val="32"/>
          <w:szCs w:val="32"/>
          <w:lang w:val="en-US" w:eastAsia="zh-CN" w:bidi="ar-SA"/>
        </w:rPr>
        <w:t>8</w:t>
      </w:r>
      <w:r>
        <w:rPr>
          <w:rFonts w:hint="default" w:ascii="Times New Roman" w:hAnsi="Times New Roman" w:eastAsia="仿宋" w:cs="Times New Roman"/>
          <w:color w:val="auto"/>
          <w:kern w:val="2"/>
          <w:sz w:val="32"/>
          <w:szCs w:val="32"/>
          <w:lang w:val="en-US" w:eastAsia="zh-CN" w:bidi="ar-SA"/>
        </w:rPr>
        <w:t>.灾害防治</w:t>
      </w:r>
      <w:r>
        <w:rPr>
          <w:rFonts w:hint="default" w:ascii="Times New Roman" w:hAnsi="Times New Roman" w:eastAsia="仿宋" w:cs="Times New Roman"/>
          <w:color w:val="auto"/>
          <w:sz w:val="32"/>
          <w:lang w:val="en-US" w:eastAsia="zh-CN"/>
        </w:rPr>
        <w:t>及应急管理支出（类）应急管理事务（款）行政运行（项）:</w:t>
      </w:r>
      <w:r>
        <w:rPr>
          <w:rFonts w:hint="default" w:ascii="Times New Roman" w:hAnsi="Times New Roman" w:eastAsia="仿宋" w:cs="Times New Roman"/>
          <w:color w:val="auto"/>
          <w:sz w:val="32"/>
        </w:rPr>
        <w:t>指保障厅机关正常运转的日常支出，包括基本工资、津贴补贴等人员经费以及办公费、印刷费、水电费等日常公用经费</w:t>
      </w:r>
      <w:r>
        <w:rPr>
          <w:rFonts w:hint="default" w:ascii="Times New Roman" w:hAnsi="Times New Roman" w:eastAsia="仿宋" w:cs="Times New Roman"/>
          <w:color w:val="auto"/>
          <w:sz w:val="32"/>
          <w:lang w:val="en-US" w:eastAsia="zh-CN"/>
        </w:rPr>
        <w:t>。</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eastAsia" w:eastAsia="仿宋" w:cs="Times New Roman"/>
          <w:color w:val="auto"/>
          <w:kern w:val="2"/>
          <w:sz w:val="32"/>
          <w:szCs w:val="32"/>
          <w:lang w:val="en-US" w:eastAsia="zh-CN" w:bidi="ar-SA"/>
        </w:rPr>
        <w:t>19</w:t>
      </w:r>
      <w:r>
        <w:rPr>
          <w:rFonts w:hint="default" w:ascii="Times New Roman" w:hAnsi="Times New Roman" w:eastAsia="仿宋" w:cs="Times New Roman"/>
          <w:color w:val="auto"/>
          <w:kern w:val="2"/>
          <w:sz w:val="32"/>
          <w:szCs w:val="32"/>
          <w:lang w:val="en-US" w:eastAsia="zh-CN" w:bidi="ar-SA"/>
        </w:rPr>
        <w:t>.灾害防治及应急管理支出（类）应急管理事务（款）一般行政管理事务（项）:</w:t>
      </w:r>
      <w:r>
        <w:rPr>
          <w:rFonts w:hint="default" w:ascii="Times New Roman" w:hAnsi="Times New Roman" w:eastAsia="仿宋" w:cs="Times New Roman"/>
          <w:color w:val="auto"/>
          <w:sz w:val="32"/>
          <w:szCs w:val="32"/>
        </w:rPr>
        <w:t>指</w:t>
      </w:r>
      <w:r>
        <w:rPr>
          <w:rFonts w:hint="default" w:ascii="Times New Roman" w:hAnsi="Times New Roman" w:eastAsia="仿宋" w:cs="Times New Roman"/>
          <w:color w:val="auto"/>
          <w:sz w:val="32"/>
        </w:rPr>
        <w:t>保障</w:t>
      </w:r>
      <w:r>
        <w:rPr>
          <w:rFonts w:hint="eastAsia" w:eastAsia="仿宋" w:cs="Times New Roman"/>
          <w:color w:val="auto"/>
          <w:sz w:val="32"/>
          <w:lang w:val="en-US" w:eastAsia="zh-CN"/>
        </w:rPr>
        <w:t>保障中心</w:t>
      </w:r>
      <w:r>
        <w:rPr>
          <w:rFonts w:hint="default" w:ascii="Times New Roman" w:hAnsi="Times New Roman" w:eastAsia="仿宋" w:cs="Times New Roman"/>
          <w:color w:val="auto"/>
          <w:sz w:val="32"/>
        </w:rPr>
        <w:t>为完成特定的行政工作任务或事业发展目标，用于专项业务工作的经费支出</w:t>
      </w:r>
      <w:r>
        <w:rPr>
          <w:rFonts w:hint="default" w:ascii="Times New Roman" w:hAnsi="Times New Roman" w:eastAsia="仿宋" w:cs="Times New Roman"/>
          <w:color w:val="auto"/>
          <w:kern w:val="2"/>
          <w:sz w:val="32"/>
          <w:szCs w:val="32"/>
          <w:lang w:val="en-US" w:eastAsia="zh-CN" w:bidi="ar-SA"/>
        </w:rPr>
        <w:t>。</w:t>
      </w:r>
    </w:p>
    <w:p>
      <w:pP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灾害防治及应急管理支出（类）应急管理事务（款）应急管理（项）:</w:t>
      </w:r>
      <w:r>
        <w:rPr>
          <w:rFonts w:hint="default" w:ascii="Times New Roman" w:hAnsi="Times New Roman" w:eastAsia="仿宋" w:cs="Times New Roman"/>
          <w:color w:val="auto"/>
          <w:sz w:val="32"/>
          <w:szCs w:val="32"/>
        </w:rPr>
        <w:t>指</w:t>
      </w:r>
      <w:r>
        <w:rPr>
          <w:rFonts w:hint="default" w:ascii="Times New Roman" w:hAnsi="Times New Roman" w:eastAsia="仿宋" w:cs="Times New Roman"/>
          <w:color w:val="auto"/>
          <w:sz w:val="32"/>
        </w:rPr>
        <w:t>保障厅机关为完成特定的行政工作任务或事业发展目标，用于</w:t>
      </w:r>
      <w:r>
        <w:rPr>
          <w:rFonts w:hint="default" w:ascii="Times New Roman" w:hAnsi="Times New Roman" w:eastAsia="仿宋" w:cs="Times New Roman"/>
          <w:color w:val="auto"/>
          <w:sz w:val="32"/>
          <w:lang w:eastAsia="zh-CN"/>
        </w:rPr>
        <w:t>应急管理方面的</w:t>
      </w:r>
      <w:r>
        <w:rPr>
          <w:rFonts w:hint="default" w:ascii="Times New Roman" w:hAnsi="Times New Roman" w:eastAsia="仿宋" w:cs="Times New Roman"/>
          <w:color w:val="auto"/>
          <w:sz w:val="32"/>
        </w:rPr>
        <w:t>专项业务工作经费支出</w:t>
      </w:r>
      <w:r>
        <w:rPr>
          <w:rFonts w:hint="default" w:ascii="Times New Roman" w:hAnsi="Times New Roman" w:eastAsia="仿宋" w:cs="Times New Roman"/>
          <w:color w:val="auto"/>
          <w:kern w:val="2"/>
          <w:sz w:val="32"/>
          <w:szCs w:val="32"/>
          <w:lang w:val="en-US" w:eastAsia="zh-CN" w:bidi="ar-SA"/>
        </w:rPr>
        <w:t>。</w:t>
      </w:r>
    </w:p>
    <w:p>
      <w:pPr>
        <w:ind w:firstLine="640" w:firstLineChars="200"/>
        <w:rPr>
          <w:rFonts w:hint="default" w:ascii="Times New Roman" w:hAnsi="Times New Roman" w:eastAsia="仿宋" w:cs="Times New Roman"/>
          <w:color w:val="auto"/>
          <w:kern w:val="2"/>
          <w:sz w:val="32"/>
          <w:szCs w:val="32"/>
          <w:lang w:val="en-US" w:eastAsia="zh-CN" w:bidi="ar-SA"/>
        </w:rPr>
      </w:pPr>
      <w:r>
        <w:rPr>
          <w:rFonts w:hint="default" w:eastAsia="仿宋" w:cs="Times New Roman"/>
          <w:color w:val="auto"/>
          <w:kern w:val="2"/>
          <w:sz w:val="32"/>
          <w:szCs w:val="32"/>
          <w:lang w:val="en" w:eastAsia="zh-CN" w:bidi="ar-SA"/>
        </w:rPr>
        <w:t>20</w:t>
      </w:r>
      <w:r>
        <w:rPr>
          <w:rFonts w:hint="default" w:ascii="Times New Roman" w:hAnsi="Times New Roman" w:eastAsia="仿宋" w:cs="Times New Roman"/>
          <w:color w:val="auto"/>
          <w:kern w:val="2"/>
          <w:sz w:val="32"/>
          <w:szCs w:val="32"/>
          <w:lang w:val="en-US" w:eastAsia="zh-CN" w:bidi="ar-SA"/>
        </w:rPr>
        <w:t>.灾害防治及应急管理支出（类）应急管理事务（款）其他应急管理支出（项）:</w:t>
      </w:r>
      <w:r>
        <w:rPr>
          <w:rFonts w:hint="default" w:ascii="Times New Roman" w:hAnsi="Times New Roman" w:eastAsia="仿宋" w:cs="Times New Roman"/>
          <w:color w:val="auto"/>
          <w:sz w:val="32"/>
          <w:szCs w:val="32"/>
        </w:rPr>
        <w:t>指</w:t>
      </w:r>
      <w:r>
        <w:rPr>
          <w:rFonts w:hint="default" w:ascii="Times New Roman" w:hAnsi="Times New Roman" w:eastAsia="仿宋" w:cs="Times New Roman"/>
          <w:color w:val="auto"/>
          <w:sz w:val="32"/>
        </w:rPr>
        <w:t>保障厅机关为完成特定行政工作任务和事业发展目标而安排的</w:t>
      </w:r>
      <w:r>
        <w:rPr>
          <w:rFonts w:hint="default" w:ascii="Times New Roman" w:hAnsi="Times New Roman" w:eastAsia="仿宋" w:cs="Times New Roman"/>
          <w:color w:val="auto"/>
          <w:sz w:val="32"/>
          <w:lang w:eastAsia="zh-CN"/>
        </w:rPr>
        <w:t>其他应急管理事务</w:t>
      </w:r>
      <w:r>
        <w:rPr>
          <w:rFonts w:hint="default" w:ascii="Times New Roman" w:hAnsi="Times New Roman" w:eastAsia="仿宋" w:cs="Times New Roman"/>
          <w:color w:val="auto"/>
          <w:sz w:val="32"/>
        </w:rPr>
        <w:t>专项工作经费支出</w:t>
      </w:r>
      <w:r>
        <w:rPr>
          <w:rFonts w:hint="default" w:ascii="Times New Roman" w:hAnsi="Times New Roman" w:eastAsia="仿宋" w:cs="Times New Roman"/>
          <w:color w:val="auto"/>
          <w:kern w:val="2"/>
          <w:sz w:val="32"/>
          <w:szCs w:val="32"/>
          <w:lang w:val="en-US" w:eastAsia="zh-CN" w:bidi="ar-SA"/>
        </w:rPr>
        <w:t>。</w:t>
      </w:r>
    </w:p>
    <w:p>
      <w:pPr>
        <w:ind w:firstLine="640" w:firstLineChars="200"/>
        <w:rPr>
          <w:rFonts w:hint="default" w:ascii="Times New Roman" w:hAnsi="Times New Roman" w:eastAsia="仿宋_GB2312" w:cs="Times New Roman"/>
          <w:color w:val="auto"/>
          <w:sz w:val="32"/>
          <w:szCs w:val="32"/>
        </w:rPr>
      </w:pPr>
      <w:r>
        <w:rPr>
          <w:rFonts w:hint="default" w:eastAsia="仿宋_GB2312" w:cs="Times New Roman"/>
          <w:color w:val="auto"/>
          <w:sz w:val="32"/>
          <w:szCs w:val="32"/>
          <w:lang w:val="en"/>
        </w:rPr>
        <w:t>21</w:t>
      </w:r>
      <w:r>
        <w:rPr>
          <w:rFonts w:hint="default" w:ascii="Times New Roman" w:hAnsi="Times New Roman" w:eastAsia="仿宋_GB2312" w:cs="Times New Roman"/>
          <w:color w:val="auto"/>
          <w:sz w:val="32"/>
          <w:szCs w:val="32"/>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color w:val="auto"/>
          <w:sz w:val="32"/>
          <w:szCs w:val="32"/>
        </w:rPr>
      </w:pPr>
      <w:r>
        <w:rPr>
          <w:rFonts w:hint="default" w:eastAsia="仿宋_GB2312" w:cs="Times New Roman"/>
          <w:color w:val="auto"/>
          <w:sz w:val="32"/>
          <w:szCs w:val="32"/>
          <w:lang w:val="en"/>
        </w:rPr>
        <w:t>22</w:t>
      </w:r>
      <w:r>
        <w:rPr>
          <w:rFonts w:hint="default" w:ascii="Times New Roman" w:hAnsi="Times New Roman" w:eastAsia="仿宋_GB2312" w:cs="Times New Roman"/>
          <w:color w:val="auto"/>
          <w:sz w:val="32"/>
          <w:szCs w:val="32"/>
        </w:rPr>
        <w:t xml:space="preserve">.项目支出：指在基本支出之外为完成特定行政任务和事业发展目标所发生的支出。 </w:t>
      </w:r>
    </w:p>
    <w:p>
      <w:pPr>
        <w:ind w:firstLine="640" w:firstLineChars="200"/>
        <w:rPr>
          <w:rFonts w:hint="default" w:ascii="Times New Roman" w:hAnsi="Times New Roman" w:eastAsia="仿宋_GB2312" w:cs="Times New Roman"/>
          <w:color w:val="auto"/>
          <w:sz w:val="32"/>
          <w:szCs w:val="32"/>
        </w:rPr>
      </w:pPr>
      <w:r>
        <w:rPr>
          <w:rFonts w:hint="default" w:eastAsia="仿宋_GB2312" w:cs="Times New Roman"/>
          <w:color w:val="auto"/>
          <w:sz w:val="32"/>
          <w:szCs w:val="32"/>
          <w:lang w:val="en"/>
        </w:rPr>
        <w:t>23</w:t>
      </w:r>
      <w:r>
        <w:rPr>
          <w:rFonts w:hint="default" w:ascii="Times New Roman" w:hAnsi="Times New Roman" w:eastAsia="仿宋_GB2312" w:cs="Times New Roman"/>
          <w:color w:val="auto"/>
          <w:sz w:val="32"/>
          <w:szCs w:val="32"/>
        </w:rPr>
        <w:t>.经营支出：指事业单位在专业业务活动及其辅助活动之外开展非独立核算经营活动发生的支出。</w:t>
      </w:r>
    </w:p>
    <w:p>
      <w:pPr>
        <w:pStyle w:val="2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eastAsia="zh-CN"/>
        </w:rPr>
        <w:t>24</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25</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adjustRightInd w:val="0"/>
        <w:snapToGrid w:val="0"/>
        <w:spacing w:line="440" w:lineRule="exact"/>
        <w:ind w:left="0" w:leftChars="0" w:firstLine="0" w:firstLineChars="0"/>
        <w:jc w:val="center"/>
        <w:rPr>
          <w:rStyle w:val="15"/>
          <w:rFonts w:ascii="黑体" w:hAnsi="黑体" w:eastAsia="黑体"/>
          <w:b w:val="0"/>
        </w:rPr>
      </w:pPr>
      <w:r>
        <w:rPr>
          <w:rFonts w:hint="default" w:ascii="Times New Roman" w:hAnsi="Times New Roman" w:cs="Times New Roman"/>
          <w:b/>
          <w:color w:val="000000"/>
          <w:sz w:val="44"/>
          <w:szCs w:val="44"/>
        </w:rPr>
        <w:br w:type="page"/>
      </w:r>
      <w:bookmarkStart w:id="45" w:name="_Toc15396614"/>
      <w:r>
        <w:rPr>
          <w:rFonts w:hint="eastAsia" w:ascii="黑体" w:hAnsi="黑体" w:eastAsia="黑体"/>
          <w:color w:val="000000"/>
          <w:sz w:val="44"/>
          <w:szCs w:val="44"/>
        </w:rPr>
        <w:t>第</w:t>
      </w:r>
      <w:r>
        <w:rPr>
          <w:rStyle w:val="15"/>
          <w:rFonts w:hint="eastAsia" w:ascii="黑体" w:hAnsi="黑体" w:eastAsia="黑体"/>
          <w:b w:val="0"/>
        </w:rPr>
        <w:t>四部分 附件</w:t>
      </w:r>
      <w:bookmarkEnd w:id="45"/>
    </w:p>
    <w:p>
      <w:pPr>
        <w:spacing w:line="580" w:lineRule="exact"/>
        <w:jc w:val="cente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Times New Roman"/>
          <w:color w:val="auto"/>
          <w:kern w:val="0"/>
          <w:sz w:val="44"/>
          <w:szCs w:val="44"/>
          <w:lang w:val="zh-CN" w:eastAsia="zh-CN" w:bidi="ar-SA"/>
        </w:rPr>
      </w:pPr>
      <w:r>
        <w:rPr>
          <w:rFonts w:hint="eastAsia" w:ascii="方正小标宋简体" w:hAnsi="宋体" w:eastAsia="方正小标宋简体" w:cs="Times New Roman"/>
          <w:color w:val="auto"/>
          <w:kern w:val="0"/>
          <w:sz w:val="44"/>
          <w:szCs w:val="44"/>
          <w:lang w:val="zh-CN" w:eastAsia="zh-CN" w:bidi="ar-SA"/>
        </w:rPr>
        <w:t>202</w:t>
      </w:r>
      <w:r>
        <w:rPr>
          <w:rFonts w:hint="eastAsia" w:ascii="方正小标宋简体" w:hAnsi="宋体" w:eastAsia="方正小标宋简体" w:cs="Times New Roman"/>
          <w:color w:val="auto"/>
          <w:kern w:val="0"/>
          <w:sz w:val="44"/>
          <w:szCs w:val="44"/>
          <w:lang w:val="en-US" w:eastAsia="zh-CN" w:bidi="ar-SA"/>
        </w:rPr>
        <w:t>0</w:t>
      </w:r>
      <w:r>
        <w:rPr>
          <w:rFonts w:hint="eastAsia" w:ascii="方正小标宋简体" w:hAnsi="宋体" w:eastAsia="方正小标宋简体" w:cs="Times New Roman"/>
          <w:color w:val="auto"/>
          <w:kern w:val="0"/>
          <w:sz w:val="44"/>
          <w:szCs w:val="44"/>
          <w:lang w:val="zh-CN" w:eastAsia="zh-CN" w:bidi="ar-SA"/>
        </w:rPr>
        <w:t>年</w:t>
      </w:r>
      <w:r>
        <w:rPr>
          <w:rFonts w:hint="eastAsia" w:ascii="方正小标宋简体" w:hAnsi="宋体" w:eastAsia="方正小标宋简体" w:cs="Times New Roman"/>
          <w:color w:val="auto"/>
          <w:kern w:val="0"/>
          <w:sz w:val="44"/>
          <w:szCs w:val="44"/>
          <w:lang w:val="en-US" w:eastAsia="zh-CN" w:bidi="ar-SA"/>
        </w:rPr>
        <w:t>部门预算</w:t>
      </w:r>
      <w:r>
        <w:rPr>
          <w:rFonts w:hint="eastAsia" w:ascii="方正小标宋简体" w:hAnsi="宋体" w:eastAsia="方正小标宋简体" w:cs="Times New Roman"/>
          <w:color w:val="auto"/>
          <w:kern w:val="0"/>
          <w:sz w:val="44"/>
          <w:szCs w:val="44"/>
          <w:lang w:val="zh-CN" w:eastAsia="zh-CN" w:bidi="ar-SA"/>
        </w:rPr>
        <w:t>项目支出绩效自评报告</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_GB2312" w:hAnsi="宋体" w:eastAsia="仿宋_GB2312" w:cs="Times New Roman"/>
          <w:color w:val="auto"/>
          <w:kern w:val="2"/>
          <w:sz w:val="32"/>
          <w:szCs w:val="32"/>
          <w:lang w:val="zh-CN" w:eastAsia="zh-CN" w:bidi="ar-SA"/>
        </w:rPr>
      </w:pPr>
      <w:r>
        <w:rPr>
          <w:rFonts w:hint="eastAsia" w:ascii="仿宋_GB2312" w:hAnsi="宋体" w:eastAsia="仿宋_GB2312" w:cs="Times New Roman"/>
          <w:color w:val="auto"/>
          <w:kern w:val="2"/>
          <w:sz w:val="32"/>
          <w:szCs w:val="32"/>
          <w:lang w:val="zh-CN" w:eastAsia="zh-CN" w:bidi="ar-SA"/>
        </w:rPr>
        <w:t>（</w:t>
      </w:r>
      <w:r>
        <w:rPr>
          <w:rFonts w:hint="eastAsia" w:ascii="仿宋_GB2312" w:hAnsi="宋体" w:eastAsia="仿宋_GB2312" w:cs="Times New Roman"/>
          <w:color w:val="auto"/>
          <w:kern w:val="2"/>
          <w:sz w:val="32"/>
          <w:szCs w:val="32"/>
          <w:lang w:val="en-US" w:eastAsia="zh-CN" w:bidi="ar-SA"/>
        </w:rPr>
        <w:t>后勤劳务外包服务采购项目</w:t>
      </w:r>
      <w:r>
        <w:rPr>
          <w:rFonts w:hint="eastAsia" w:ascii="仿宋_GB2312" w:hAnsi="宋体" w:eastAsia="仿宋_GB2312" w:cs="Times New Roman"/>
          <w:color w:val="auto"/>
          <w:kern w:val="2"/>
          <w:sz w:val="32"/>
          <w:szCs w:val="32"/>
          <w:lang w:val="zh-CN" w:eastAsia="zh-CN" w:bidi="ar-SA"/>
        </w:rPr>
        <w:t>）</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为保障机关正常运行，保障中心通过购买服务方式为机关提供驾驶、会务等后勤服务保障事项，通过该项目实施，有力的保障了机关各项工作的顺利开展。</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该</w:t>
      </w:r>
      <w:r>
        <w:rPr>
          <w:rFonts w:hint="default" w:ascii="Times New Roman" w:hAnsi="Times New Roman" w:eastAsia="仿宋" w:cs="Times New Roman"/>
          <w:sz w:val="32"/>
          <w:szCs w:val="32"/>
          <w:lang w:val="en-US" w:eastAsia="zh-CN"/>
        </w:rPr>
        <w:t>项目年度总预算</w:t>
      </w:r>
      <w:r>
        <w:rPr>
          <w:rFonts w:hint="eastAsia" w:eastAsia="仿宋" w:cs="Times New Roman"/>
          <w:sz w:val="32"/>
          <w:szCs w:val="32"/>
          <w:lang w:val="en-US" w:eastAsia="zh-CN"/>
        </w:rPr>
        <w:t>275</w:t>
      </w:r>
      <w:r>
        <w:rPr>
          <w:rFonts w:hint="default" w:ascii="Times New Roman" w:hAnsi="Times New Roman" w:eastAsia="仿宋" w:cs="Times New Roman"/>
          <w:sz w:val="32"/>
          <w:szCs w:val="32"/>
          <w:lang w:val="en-US" w:eastAsia="zh-CN"/>
        </w:rPr>
        <w:t>万元，总体目标是</w:t>
      </w:r>
      <w:r>
        <w:rPr>
          <w:rFonts w:hint="eastAsia" w:ascii="仿宋_GB2312" w:hAnsi="宋体" w:eastAsia="仿宋_GB2312"/>
          <w:color w:val="auto"/>
          <w:sz w:val="32"/>
          <w:szCs w:val="32"/>
          <w:lang w:val="en-US" w:eastAsia="zh-CN"/>
        </w:rPr>
        <w:t>通过购买服务方式为机关提供驾驶、会务等后勤服务保障事项。具体包括打印服务事项，会务服务事项，驾驶服务事项，后勤服务事项。</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二、评价工作开展情况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根据《财政厅关于开展2021年部门、政策和项目支出绩效评价工作的通知》要求，</w:t>
      </w:r>
      <w:r>
        <w:rPr>
          <w:rFonts w:hint="eastAsia" w:eastAsia="仿宋" w:cs="Times New Roman"/>
          <w:sz w:val="32"/>
          <w:szCs w:val="32"/>
          <w:lang w:val="en-US" w:eastAsia="zh-CN"/>
        </w:rPr>
        <w:t>保障中心</w:t>
      </w:r>
      <w:r>
        <w:rPr>
          <w:rFonts w:hint="default" w:ascii="Times New Roman" w:hAnsi="Times New Roman" w:eastAsia="仿宋" w:cs="Times New Roman"/>
          <w:sz w:val="32"/>
          <w:szCs w:val="32"/>
          <w:lang w:val="en-US" w:eastAsia="zh-CN"/>
        </w:rPr>
        <w:t>积极开展100万元以上部门预算项目支出绩效评价工作，设定评价指标体系和评分标准，按要求进行自评。</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项目绩效自评采取打分评价的形式，满分为100分。总体分为部门预算管理（80分）、绩效结果应用（10分）、自评质量（10分）3个一级指标，预算编制、预算执行、完成结果、整改反馈、自评质量5个二级指标，具体细分目标制定、目标实现、编制准确、动态调整、执行进度、预算完成、违规记录、结果整改、应用反馈、自评准确10个三级指标。根据各项绩效指标，对照项目执行情况进行自评。</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综合</w:t>
      </w:r>
      <w:r>
        <w:rPr>
          <w:rFonts w:hint="default" w:ascii="Times New Roman" w:hAnsi="Times New Roman" w:eastAsia="黑体" w:cs="Times New Roman"/>
          <w:sz w:val="32"/>
          <w:szCs w:val="32"/>
        </w:rPr>
        <w:t>评价结论</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zh-CN" w:eastAsia="zh-CN"/>
        </w:rPr>
        <w:t>从总体情况来说，我们认为，该项目决策科学合理，项目管理规范有序，项目保质保量完成。从计划实施情况来说，项目立项到资金监管等方面，程序规范，确保了财政资金规范高效使用。从项目完成情况来说，该项目基本完成相关数量指标，达到预期效益。从项目效果来说，该项目基本实现了项目绩效目标，已完工验收项目运行效果良好，经济效益、社会效益较好。</w:t>
      </w:r>
      <w:r>
        <w:rPr>
          <w:rFonts w:hint="default" w:ascii="Times New Roman" w:hAnsi="Times New Roman" w:eastAsia="仿宋" w:cs="Times New Roman"/>
          <w:sz w:val="32"/>
          <w:szCs w:val="32"/>
          <w:lang w:val="en-US" w:eastAsia="zh-CN"/>
        </w:rPr>
        <w:t>项目自评</w:t>
      </w:r>
      <w:r>
        <w:rPr>
          <w:rFonts w:hint="eastAsia" w:eastAsia="仿宋" w:cs="Times New Roman"/>
          <w:color w:val="auto"/>
          <w:sz w:val="32"/>
          <w:szCs w:val="32"/>
          <w:lang w:val="en-US" w:eastAsia="zh-CN"/>
        </w:rPr>
        <w:t>88.8</w:t>
      </w:r>
      <w:r>
        <w:rPr>
          <w:rFonts w:hint="default" w:ascii="Times New Roman" w:hAnsi="Times New Roman" w:eastAsia="仿宋" w:cs="Times New Roman"/>
          <w:color w:val="auto"/>
          <w:sz w:val="32"/>
          <w:szCs w:val="32"/>
          <w:lang w:val="en-US" w:eastAsia="zh-CN"/>
        </w:rPr>
        <w:t>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四、绩效评价分析</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（一）项目决策情况。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eastAsia" w:eastAsia="仿宋" w:cs="Times New Roman"/>
          <w:sz w:val="32"/>
          <w:szCs w:val="32"/>
          <w:lang w:val="zh-CN" w:eastAsia="zh-CN"/>
        </w:rPr>
        <w:t>保障中心</w:t>
      </w:r>
      <w:r>
        <w:rPr>
          <w:rFonts w:hint="default" w:ascii="Times New Roman" w:hAnsi="Times New Roman" w:eastAsia="仿宋" w:cs="Times New Roman"/>
          <w:sz w:val="32"/>
          <w:szCs w:val="32"/>
          <w:lang w:val="zh-CN" w:eastAsia="zh-CN"/>
        </w:rPr>
        <w:t>严格按照</w:t>
      </w:r>
      <w:r>
        <w:rPr>
          <w:rFonts w:hint="default" w:ascii="Times New Roman" w:hAnsi="Times New Roman" w:eastAsia="仿宋" w:cs="Times New Roman"/>
          <w:sz w:val="32"/>
          <w:szCs w:val="32"/>
          <w:lang w:val="en-US" w:eastAsia="zh-CN"/>
        </w:rPr>
        <w:t>2020年部门预算批复要求，和单位内部控制管理相关规定，根据项目具体工作内容和绩效目标，开展相关工作。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（二）项目管理情况。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一是加强预算管理。按照《预算法》及财政相关要求，</w:t>
      </w:r>
      <w:r>
        <w:rPr>
          <w:rFonts w:hint="eastAsia" w:eastAsia="仿宋" w:cs="Times New Roman"/>
          <w:sz w:val="32"/>
          <w:szCs w:val="32"/>
          <w:lang w:val="zh-CN" w:eastAsia="zh-CN"/>
        </w:rPr>
        <w:t>保障中心</w:t>
      </w:r>
      <w:r>
        <w:rPr>
          <w:rFonts w:hint="default" w:ascii="Times New Roman" w:hAnsi="Times New Roman" w:eastAsia="仿宋" w:cs="Times New Roman"/>
          <w:sz w:val="32"/>
          <w:szCs w:val="32"/>
          <w:lang w:val="zh-CN" w:eastAsia="zh-CN"/>
        </w:rPr>
        <w:t>按“支出合理、效用优先、保障重点、兼顾一般”的原则，客观、真实、详尽的编制预算。</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eastAsia" w:eastAsia="仿宋" w:cs="Times New Roman"/>
          <w:sz w:val="32"/>
          <w:szCs w:val="32"/>
          <w:lang w:val="zh-CN" w:eastAsia="zh-CN"/>
        </w:rPr>
      </w:pPr>
      <w:r>
        <w:rPr>
          <w:rFonts w:hint="default" w:ascii="Times New Roman" w:hAnsi="Times New Roman" w:eastAsia="仿宋" w:cs="Times New Roman"/>
          <w:sz w:val="32"/>
          <w:szCs w:val="32"/>
          <w:lang w:val="zh-CN" w:eastAsia="zh-CN"/>
        </w:rPr>
        <w:t>二是加强内控建设。按照内控建设相关要求，进一步规范单位内部</w:t>
      </w:r>
      <w:r>
        <w:rPr>
          <w:rFonts w:hint="eastAsia" w:eastAsia="仿宋" w:cs="Times New Roman"/>
          <w:sz w:val="32"/>
          <w:szCs w:val="32"/>
          <w:lang w:val="zh-CN" w:eastAsia="zh-CN"/>
        </w:rPr>
        <w:t>控制</w:t>
      </w:r>
      <w:r>
        <w:rPr>
          <w:rFonts w:hint="default" w:ascii="Times New Roman" w:hAnsi="Times New Roman" w:eastAsia="仿宋" w:cs="Times New Roman"/>
          <w:sz w:val="32"/>
          <w:szCs w:val="32"/>
          <w:lang w:val="zh-CN" w:eastAsia="zh-CN"/>
        </w:rPr>
        <w:t>，强化廉政风险防控管理，</w:t>
      </w:r>
      <w:r>
        <w:rPr>
          <w:rFonts w:hint="eastAsia" w:eastAsia="仿宋" w:cs="Times New Roman"/>
          <w:sz w:val="32"/>
          <w:szCs w:val="32"/>
          <w:lang w:val="zh-CN" w:eastAsia="zh-CN"/>
        </w:rPr>
        <w:t>保障中心制订完善了保障中心内部控制系列管理办法。</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三是加强内部审核监督。对于财政资金的内部监督必须贯穿在整个资金的安排使用中，重点监督付款程序是否合规，付款手续是否完善，资金使用是否合理，原始附件是否齐全等方面，充分发挥财政监督的监控职能，保证财政资金的使用效益，避免违法违纪问题的发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（三）项目产出情况。</w:t>
      </w:r>
    </w:p>
    <w:p>
      <w:pPr>
        <w:spacing w:line="360" w:lineRule="auto"/>
        <w:ind w:firstLine="640" w:firstLineChars="200"/>
        <w:rPr>
          <w:rFonts w:hint="eastAsia" w:ascii="Times New Roman" w:hAnsi="Times New Roman" w:eastAsia="仿宋" w:cs="Times New Roman"/>
          <w:sz w:val="32"/>
          <w:szCs w:val="32"/>
          <w:lang w:val="en-US" w:eastAsia="zh-CN"/>
        </w:rPr>
      </w:pPr>
      <w:r>
        <w:rPr>
          <w:rFonts w:hint="eastAsia" w:eastAsia="仿宋" w:cs="Times New Roman"/>
          <w:sz w:val="32"/>
          <w:szCs w:val="32"/>
          <w:lang w:val="en-US" w:eastAsia="zh-CN"/>
        </w:rPr>
        <w:t>保障中心通过公开招标方式确定了供应商为厅机关提供综合后勤保障。一是</w:t>
      </w:r>
      <w:r>
        <w:rPr>
          <w:rFonts w:hint="eastAsia" w:ascii="仿宋" w:hAnsi="仿宋" w:eastAsia="仿宋"/>
          <w:color w:val="000000"/>
          <w:sz w:val="30"/>
          <w:szCs w:val="30"/>
        </w:rPr>
        <w:t>提供驾驶员</w:t>
      </w:r>
      <w:r>
        <w:rPr>
          <w:rFonts w:hint="eastAsia" w:ascii="仿宋" w:hAnsi="仿宋" w:eastAsia="仿宋"/>
          <w:color w:val="000000"/>
          <w:sz w:val="30"/>
          <w:szCs w:val="30"/>
          <w:lang w:eastAsia="zh-CN"/>
        </w:rPr>
        <w:t>服务，确</w:t>
      </w:r>
      <w:r>
        <w:rPr>
          <w:rFonts w:hint="eastAsia" w:ascii="仿宋" w:hAnsi="仿宋" w:eastAsia="仿宋"/>
          <w:color w:val="000000"/>
          <w:sz w:val="30"/>
          <w:szCs w:val="30"/>
        </w:rPr>
        <w:t>保日常需要和应急出动需要。</w:t>
      </w:r>
      <w:r>
        <w:rPr>
          <w:rFonts w:hint="eastAsia" w:ascii="仿宋" w:hAnsi="仿宋" w:eastAsia="仿宋"/>
          <w:color w:val="000000"/>
          <w:sz w:val="30"/>
          <w:szCs w:val="30"/>
          <w:lang w:eastAsia="zh-CN"/>
        </w:rPr>
        <w:t>二是提供</w:t>
      </w:r>
      <w:r>
        <w:rPr>
          <w:rFonts w:hint="eastAsia" w:ascii="仿宋" w:hAnsi="仿宋" w:eastAsia="仿宋"/>
          <w:color w:val="000000"/>
          <w:sz w:val="30"/>
          <w:szCs w:val="30"/>
        </w:rPr>
        <w:t>文印服务</w:t>
      </w:r>
      <w:r>
        <w:rPr>
          <w:rFonts w:hint="eastAsia" w:ascii="仿宋" w:hAnsi="仿宋" w:eastAsia="仿宋"/>
          <w:color w:val="000000"/>
          <w:sz w:val="30"/>
          <w:szCs w:val="30"/>
          <w:lang w:eastAsia="zh-CN"/>
        </w:rPr>
        <w:t>，保障机关文印室正常运转。三是</w:t>
      </w:r>
      <w:r>
        <w:rPr>
          <w:rFonts w:hint="eastAsia" w:ascii="仿宋" w:hAnsi="仿宋" w:eastAsia="仿宋"/>
          <w:color w:val="000000"/>
          <w:sz w:val="30"/>
          <w:szCs w:val="30"/>
        </w:rPr>
        <w:t>提供后勤事务服务</w:t>
      </w:r>
      <w:r>
        <w:rPr>
          <w:rFonts w:hint="eastAsia" w:ascii="仿宋" w:hAnsi="仿宋" w:eastAsia="仿宋"/>
          <w:color w:val="000000"/>
          <w:sz w:val="30"/>
          <w:szCs w:val="30"/>
          <w:lang w:eastAsia="zh-CN"/>
        </w:rPr>
        <w:t>。四是提供</w:t>
      </w:r>
      <w:r>
        <w:rPr>
          <w:rFonts w:hint="eastAsia" w:ascii="仿宋" w:hAnsi="仿宋" w:eastAsia="仿宋"/>
          <w:color w:val="000000"/>
          <w:sz w:val="30"/>
          <w:szCs w:val="30"/>
        </w:rPr>
        <w:t>会务服务</w:t>
      </w:r>
      <w:r>
        <w:rPr>
          <w:rFonts w:hint="eastAsia" w:ascii="仿宋" w:hAnsi="仿宋" w:eastAsia="仿宋"/>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（四）项目效益情况。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eastAsia" w:ascii="仿宋" w:hAnsi="仿宋" w:eastAsia="仿宋"/>
          <w:color w:val="000000"/>
          <w:sz w:val="30"/>
          <w:szCs w:val="30"/>
          <w:lang w:val="en-US" w:eastAsia="zh-CN"/>
        </w:rPr>
      </w:pPr>
      <w:r>
        <w:rPr>
          <w:rFonts w:hint="default" w:ascii="Times New Roman" w:hAnsi="Times New Roman" w:eastAsia="仿宋" w:cs="Times New Roman"/>
          <w:sz w:val="32"/>
          <w:szCs w:val="32"/>
          <w:lang w:val="en-US" w:eastAsia="zh-CN"/>
        </w:rPr>
        <w:t>通过项目的实施</w:t>
      </w:r>
      <w:r>
        <w:rPr>
          <w:rFonts w:hint="eastAsia" w:eastAsia="仿宋" w:cs="Times New Roman"/>
          <w:sz w:val="32"/>
          <w:szCs w:val="32"/>
          <w:lang w:val="en-US" w:eastAsia="zh-CN"/>
        </w:rPr>
        <w:t>，提供综合后勤保障服务</w:t>
      </w:r>
      <w:r>
        <w:rPr>
          <w:rFonts w:hint="eastAsia" w:ascii="仿宋" w:hAnsi="仿宋" w:eastAsia="仿宋"/>
          <w:color w:val="000000"/>
          <w:sz w:val="30"/>
          <w:szCs w:val="30"/>
          <w:lang w:eastAsia="zh-CN"/>
        </w:rPr>
        <w:t>为厅机关各项会议提供保障基础。</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五、存在主要问题</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一</w:t>
      </w:r>
      <w:r>
        <w:rPr>
          <w:rFonts w:hint="default" w:ascii="Times New Roman" w:hAnsi="Times New Roman" w:eastAsia="仿宋" w:cs="Times New Roman"/>
          <w:sz w:val="32"/>
          <w:szCs w:val="32"/>
          <w:lang w:val="en-US" w:eastAsia="zh-CN"/>
        </w:rPr>
        <w:t>是</w:t>
      </w:r>
      <w:r>
        <w:rPr>
          <w:rFonts w:hint="default" w:ascii="Times New Roman" w:hAnsi="Times New Roman" w:eastAsia="仿宋" w:cs="Times New Roman"/>
          <w:sz w:val="32"/>
          <w:szCs w:val="32"/>
          <w:lang w:val="zh-CN" w:eastAsia="zh-CN"/>
        </w:rPr>
        <w:t>需要进一步提升项目的绩效目标编制水平，提高绩效评价指标质量。</w:t>
      </w:r>
      <w:r>
        <w:rPr>
          <w:rFonts w:hint="eastAsia" w:eastAsia="仿宋" w:cs="Times New Roman"/>
          <w:sz w:val="32"/>
          <w:szCs w:val="32"/>
          <w:lang w:val="en-US" w:eastAsia="zh-CN"/>
        </w:rPr>
        <w:t>二</w:t>
      </w:r>
      <w:r>
        <w:rPr>
          <w:rFonts w:hint="default" w:ascii="Times New Roman" w:hAnsi="Times New Roman" w:eastAsia="仿宋" w:cs="Times New Roman"/>
          <w:sz w:val="32"/>
          <w:szCs w:val="32"/>
          <w:lang w:val="en-US" w:eastAsia="zh-CN"/>
        </w:rPr>
        <w:t>是</w:t>
      </w:r>
      <w:r>
        <w:rPr>
          <w:rFonts w:hint="default" w:ascii="Times New Roman" w:hAnsi="Times New Roman" w:eastAsia="仿宋" w:cs="Times New Roman"/>
          <w:sz w:val="32"/>
          <w:szCs w:val="32"/>
          <w:lang w:val="zh-CN" w:eastAsia="zh-CN"/>
        </w:rPr>
        <w:t>充分适应新时代的新要求，加大项目资金全过程监管力度，通过事前、事中、事后的全方位跟踪检查，有效提升绩效管理水平。</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六、相关措施建议</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（一）深入学习领会全省实施预算绩效管理的</w:t>
      </w:r>
      <w:r>
        <w:rPr>
          <w:rFonts w:hint="eastAsia" w:eastAsia="仿宋" w:cs="Times New Roman"/>
          <w:sz w:val="32"/>
          <w:szCs w:val="32"/>
          <w:lang w:val="en-US" w:eastAsia="zh-CN"/>
        </w:rPr>
        <w:t>要求</w:t>
      </w:r>
      <w:r>
        <w:rPr>
          <w:rFonts w:hint="default" w:ascii="Times New Roman" w:hAnsi="Times New Roman" w:eastAsia="仿宋" w:cs="Times New Roman"/>
          <w:sz w:val="32"/>
          <w:szCs w:val="32"/>
          <w:lang w:val="en-US" w:eastAsia="zh-CN"/>
        </w:rPr>
        <w:t>，继续高度重视预算绩效管理工作，及早谋划和布置</w:t>
      </w:r>
      <w:r>
        <w:rPr>
          <w:rFonts w:hint="eastAsia" w:eastAsia="仿宋" w:cs="Times New Roman"/>
          <w:sz w:val="32"/>
          <w:szCs w:val="32"/>
          <w:lang w:val="en-US" w:eastAsia="zh-CN"/>
        </w:rPr>
        <w:t>新的</w:t>
      </w:r>
      <w:r>
        <w:rPr>
          <w:rFonts w:hint="default" w:ascii="Times New Roman" w:hAnsi="Times New Roman" w:eastAsia="仿宋" w:cs="Times New Roman"/>
          <w:sz w:val="32"/>
          <w:szCs w:val="32"/>
          <w:lang w:val="en-US" w:eastAsia="zh-CN"/>
        </w:rPr>
        <w:t>年度预算绩效目标编制工作，提出编制方案，明确编制要求，确保绩效目标科学合理。</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（二）进一步加强预算绩效目标管理，确保指向明确、细化量化、合理可行、相应匹配。精确设置绩效指标，合理确定指标值，全面反映产出、结果、成本和效益等绩效信息，切实提高绩效目标编制质量。</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（三）严格资金管理。严格按照相关文件要求，管好、用好专项资金，确保财政资金效益。</w:t>
      </w: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Times New Roman"/>
          <w:color w:val="auto"/>
          <w:kern w:val="0"/>
          <w:sz w:val="44"/>
          <w:szCs w:val="44"/>
          <w:lang w:val="zh-CN"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Times New Roman"/>
          <w:color w:val="auto"/>
          <w:kern w:val="0"/>
          <w:sz w:val="44"/>
          <w:szCs w:val="44"/>
          <w:lang w:val="zh-CN" w:eastAsia="zh-CN" w:bidi="ar-SA"/>
        </w:rPr>
      </w:pPr>
      <w:r>
        <w:rPr>
          <w:rFonts w:hint="eastAsia" w:ascii="方正小标宋简体" w:hAnsi="宋体" w:eastAsia="方正小标宋简体" w:cs="Times New Roman"/>
          <w:color w:val="auto"/>
          <w:kern w:val="0"/>
          <w:sz w:val="44"/>
          <w:szCs w:val="44"/>
          <w:lang w:val="zh-CN" w:eastAsia="zh-CN" w:bidi="ar-SA"/>
        </w:rPr>
        <w:t>202</w:t>
      </w:r>
      <w:r>
        <w:rPr>
          <w:rFonts w:hint="eastAsia" w:ascii="方正小标宋简体" w:hAnsi="宋体" w:eastAsia="方正小标宋简体" w:cs="Times New Roman"/>
          <w:color w:val="auto"/>
          <w:kern w:val="0"/>
          <w:sz w:val="44"/>
          <w:szCs w:val="44"/>
          <w:lang w:val="en-US" w:eastAsia="zh-CN" w:bidi="ar-SA"/>
        </w:rPr>
        <w:t>0</w:t>
      </w:r>
      <w:r>
        <w:rPr>
          <w:rFonts w:hint="eastAsia" w:ascii="方正小标宋简体" w:hAnsi="宋体" w:eastAsia="方正小标宋简体" w:cs="Times New Roman"/>
          <w:color w:val="auto"/>
          <w:kern w:val="0"/>
          <w:sz w:val="44"/>
          <w:szCs w:val="44"/>
          <w:lang w:val="zh-CN" w:eastAsia="zh-CN" w:bidi="ar-SA"/>
        </w:rPr>
        <w:t>年</w:t>
      </w:r>
      <w:r>
        <w:rPr>
          <w:rFonts w:hint="eastAsia" w:ascii="方正小标宋简体" w:hAnsi="宋体" w:eastAsia="方正小标宋简体" w:cs="Times New Roman"/>
          <w:color w:val="auto"/>
          <w:kern w:val="0"/>
          <w:sz w:val="44"/>
          <w:szCs w:val="44"/>
          <w:lang w:val="en-US" w:eastAsia="zh-CN" w:bidi="ar-SA"/>
        </w:rPr>
        <w:t>部门预算</w:t>
      </w:r>
      <w:r>
        <w:rPr>
          <w:rFonts w:hint="eastAsia" w:ascii="方正小标宋简体" w:hAnsi="宋体" w:eastAsia="方正小标宋简体" w:cs="Times New Roman"/>
          <w:color w:val="auto"/>
          <w:kern w:val="0"/>
          <w:sz w:val="44"/>
          <w:szCs w:val="44"/>
          <w:lang w:val="zh-CN" w:eastAsia="zh-CN" w:bidi="ar-SA"/>
        </w:rPr>
        <w:t>项目支出绩效自评报告</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_GB2312" w:hAnsi="宋体" w:eastAsia="仿宋_GB2312" w:cs="Times New Roman"/>
          <w:color w:val="auto"/>
          <w:kern w:val="2"/>
          <w:sz w:val="32"/>
          <w:szCs w:val="32"/>
          <w:lang w:val="zh-CN" w:eastAsia="zh-CN" w:bidi="ar-SA"/>
        </w:rPr>
      </w:pPr>
      <w:r>
        <w:rPr>
          <w:rFonts w:hint="eastAsia" w:ascii="仿宋_GB2312" w:hAnsi="宋体" w:eastAsia="仿宋_GB2312" w:cs="Times New Roman"/>
          <w:color w:val="auto"/>
          <w:kern w:val="2"/>
          <w:sz w:val="32"/>
          <w:szCs w:val="32"/>
          <w:lang w:val="zh-CN" w:eastAsia="zh-CN" w:bidi="ar-SA"/>
        </w:rPr>
        <w:t>（</w:t>
      </w:r>
      <w:r>
        <w:rPr>
          <w:rFonts w:hint="eastAsia" w:ascii="仿宋_GB2312" w:hAnsi="宋体" w:eastAsia="仿宋_GB2312" w:cs="Times New Roman"/>
          <w:color w:val="auto"/>
          <w:kern w:val="2"/>
          <w:sz w:val="32"/>
          <w:szCs w:val="32"/>
          <w:lang w:val="en-US" w:eastAsia="zh-CN" w:bidi="ar-SA"/>
        </w:rPr>
        <w:t>应急管理综合保障项目</w:t>
      </w:r>
      <w:r>
        <w:rPr>
          <w:rFonts w:hint="eastAsia" w:ascii="仿宋_GB2312" w:hAnsi="宋体" w:eastAsia="仿宋_GB2312" w:cs="Times New Roman"/>
          <w:color w:val="auto"/>
          <w:kern w:val="2"/>
          <w:sz w:val="32"/>
          <w:szCs w:val="32"/>
          <w:lang w:val="zh-CN" w:eastAsia="zh-CN" w:bidi="ar-SA"/>
        </w:rPr>
        <w:t>）</w:t>
      </w:r>
    </w:p>
    <w:p>
      <w:pPr>
        <w:pStyle w:val="2"/>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一、基本情况</w:t>
      </w:r>
    </w:p>
    <w:p>
      <w:pPr>
        <w:pStyle w:val="19"/>
        <w:spacing w:line="600" w:lineRule="exact"/>
        <w:ind w:firstLine="634"/>
        <w:rPr>
          <w:rFonts w:hint="default" w:ascii="Times New Roman" w:hAnsi="Times New Roman" w:eastAsia="仿宋" w:cs="Times New Roman"/>
          <w:szCs w:val="32"/>
          <w:lang w:val="en-US" w:eastAsia="zh-CN"/>
        </w:rPr>
      </w:pPr>
      <w:r>
        <w:rPr>
          <w:rFonts w:hint="eastAsia"/>
          <w:szCs w:val="32"/>
          <w:highlight w:val="none"/>
          <w:shd w:val="clear" w:color="auto" w:fill="FFFFFF"/>
          <w:lang w:val="en-US" w:eastAsia="zh-CN"/>
        </w:rPr>
        <w:t>根据</w:t>
      </w:r>
      <w:r>
        <w:rPr>
          <w:rFonts w:hint="eastAsia"/>
          <w:szCs w:val="32"/>
          <w:highlight w:val="none"/>
          <w:shd w:val="clear" w:color="auto" w:fill="FFFFFF"/>
        </w:rPr>
        <w:t>《四川省应急管理厅内设机构主要职责规定（试行）》的通知</w:t>
      </w:r>
      <w:r>
        <w:rPr>
          <w:rFonts w:hint="eastAsia"/>
          <w:szCs w:val="32"/>
          <w:highlight w:val="none"/>
          <w:shd w:val="clear" w:color="auto" w:fill="FFFFFF"/>
          <w:lang w:eastAsia="zh-CN"/>
        </w:rPr>
        <w:t>（川应急〔2019〕131号），</w:t>
      </w:r>
      <w:r>
        <w:rPr>
          <w:rFonts w:hint="eastAsia"/>
          <w:szCs w:val="32"/>
          <w:highlight w:val="none"/>
          <w:shd w:val="clear" w:color="auto" w:fill="FFFFFF"/>
          <w:lang w:val="en-US" w:eastAsia="zh-CN"/>
        </w:rPr>
        <w:t>保障中心的主要职责为承担安全生产类、自然灾害类等突发事件和防灾减灾等相关综合服务保障职责，负责机关行政事务管理，组织协调机关办公用房、后勤保障、安全保卫、车辆等后勤服务保障工作。该项目主要为机关提供综合保障事项，包括聘用人员的工资社保等，临时购买服务费和其他不可预测的机动支出事项</w:t>
      </w:r>
      <w:r>
        <w:rPr>
          <w:rFonts w:hint="eastAsia" w:ascii="华文仿宋" w:hAnsi="华文仿宋" w:eastAsia="华文仿宋"/>
          <w:szCs w:val="32"/>
          <w:highlight w:val="none"/>
        </w:rPr>
        <w:t>等</w:t>
      </w:r>
      <w:r>
        <w:rPr>
          <w:rFonts w:hint="eastAsia" w:ascii="华文仿宋" w:hAnsi="华文仿宋" w:eastAsia="华文仿宋"/>
          <w:szCs w:val="32"/>
          <w:highlight w:val="none"/>
          <w:lang w:eastAsia="zh-CN"/>
        </w:rPr>
        <w:t>。</w:t>
      </w:r>
    </w:p>
    <w:p>
      <w:pPr>
        <w:pStyle w:val="19"/>
        <w:spacing w:line="600" w:lineRule="exact"/>
        <w:ind w:firstLine="634"/>
        <w:rPr>
          <w:rFonts w:hint="eastAsia"/>
          <w:szCs w:val="32"/>
          <w:highlight w:val="none"/>
          <w:shd w:val="clear" w:color="auto" w:fill="FFFFFF"/>
          <w:lang w:val="en-US" w:eastAsia="zh-CN"/>
        </w:rPr>
      </w:pPr>
      <w:r>
        <w:rPr>
          <w:rFonts w:hint="default" w:ascii="Times New Roman" w:hAnsi="Times New Roman" w:eastAsia="仿宋" w:cs="Times New Roman"/>
          <w:sz w:val="32"/>
          <w:szCs w:val="32"/>
          <w:lang w:val="en-US" w:eastAsia="zh-CN"/>
        </w:rPr>
        <w:t>本项目年度总预算</w:t>
      </w:r>
      <w:r>
        <w:rPr>
          <w:rFonts w:hint="eastAsia" w:eastAsia="仿宋" w:cs="Times New Roman"/>
          <w:sz w:val="32"/>
          <w:szCs w:val="32"/>
          <w:lang w:val="en-US" w:eastAsia="zh-CN"/>
        </w:rPr>
        <w:t>131</w:t>
      </w:r>
      <w:r>
        <w:rPr>
          <w:rFonts w:hint="default" w:ascii="Times New Roman" w:hAnsi="Times New Roman" w:eastAsia="仿宋" w:cs="Times New Roman"/>
          <w:sz w:val="32"/>
          <w:szCs w:val="32"/>
          <w:lang w:val="en-US" w:eastAsia="zh-CN"/>
        </w:rPr>
        <w:t>万元，总体目标是</w:t>
      </w:r>
      <w:r>
        <w:rPr>
          <w:rFonts w:hint="eastAsia" w:eastAsia="仿宋" w:cs="Times New Roman"/>
          <w:sz w:val="32"/>
          <w:szCs w:val="32"/>
          <w:lang w:val="en-US" w:eastAsia="zh-CN"/>
        </w:rPr>
        <w:t>为机关提供后勤保障服务事项，确保机关正常运行。</w:t>
      </w:r>
      <w:r>
        <w:rPr>
          <w:rFonts w:hint="eastAsia"/>
          <w:szCs w:val="32"/>
          <w:highlight w:val="none"/>
          <w:shd w:val="clear" w:color="auto" w:fill="FFFFFF"/>
          <w:lang w:val="en-US" w:eastAsia="zh-CN"/>
        </w:rPr>
        <w:t>一是解决聘用人员的工资、五险一金、公积金等支出。二是应急管理综合保障事项。三是</w:t>
      </w:r>
      <w:r>
        <w:rPr>
          <w:rFonts w:hint="default"/>
          <w:szCs w:val="32"/>
          <w:highlight w:val="none"/>
          <w:shd w:val="clear" w:color="auto" w:fill="FFFFFF"/>
          <w:lang w:val="en-US" w:eastAsia="zh-CN"/>
        </w:rPr>
        <w:t>临时购买服务费和其他不可预测的机动事项</w:t>
      </w:r>
      <w:r>
        <w:rPr>
          <w:rFonts w:hint="eastAsia"/>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二、评价工作开展情况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根据《财政厅关于开展2021年部门、政策和项目支出绩效评价工作的通知》要求，</w:t>
      </w:r>
      <w:r>
        <w:rPr>
          <w:rFonts w:hint="eastAsia" w:eastAsia="仿宋" w:cs="Times New Roman"/>
          <w:sz w:val="32"/>
          <w:szCs w:val="32"/>
          <w:lang w:val="en-US" w:eastAsia="zh-CN"/>
        </w:rPr>
        <w:t>保障中心</w:t>
      </w:r>
      <w:r>
        <w:rPr>
          <w:rFonts w:hint="default" w:ascii="Times New Roman" w:hAnsi="Times New Roman" w:eastAsia="仿宋" w:cs="Times New Roman"/>
          <w:sz w:val="32"/>
          <w:szCs w:val="32"/>
          <w:lang w:val="en-US" w:eastAsia="zh-CN"/>
        </w:rPr>
        <w:t>积极开展100万元以上部门预算项目支出绩效评价工作，设定评价指标体系和评分标准，按要求进行自评。</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项目绩效自评采取打分评价的形式，满分为100分。总体分为部门预算管理（80分）、绩效结果应用（10分）、自评质量（10分）3个一级指标，预算编制、预算执行、完成结果、整改反馈、自评质量5个二级指标，具体细分目标制定、目标实现、编制准确、动态调整、执行进度、预算完成、违规记录、结果整改、应用反馈、自评准确10个三级指标。根据各项绩效指标，对照项目执行情况进行自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综合</w:t>
      </w:r>
      <w:r>
        <w:rPr>
          <w:rFonts w:hint="default" w:ascii="Times New Roman" w:hAnsi="Times New Roman" w:eastAsia="黑体" w:cs="Times New Roman"/>
          <w:sz w:val="32"/>
          <w:szCs w:val="32"/>
        </w:rPr>
        <w:t>评价结论</w:t>
      </w:r>
    </w:p>
    <w:p>
      <w:pPr>
        <w:pStyle w:val="19"/>
        <w:spacing w:line="600" w:lineRule="exact"/>
        <w:ind w:firstLine="634"/>
        <w:rPr>
          <w:rFonts w:hint="default" w:ascii="Times New Roman" w:hAnsi="Times New Roman" w:eastAsia="仿宋" w:cs="Times New Roman"/>
          <w:szCs w:val="32"/>
          <w:lang w:val="en-US" w:eastAsia="zh-CN"/>
        </w:rPr>
      </w:pPr>
      <w:r>
        <w:rPr>
          <w:rFonts w:hint="default" w:ascii="Times New Roman" w:hAnsi="Times New Roman" w:eastAsia="仿宋" w:cs="Times New Roman"/>
          <w:szCs w:val="32"/>
          <w:lang w:val="zh-CN" w:eastAsia="zh-CN"/>
        </w:rPr>
        <w:t>从总体情况来说，我们认为，该项目决策科学合理，项目管理规范有序，项目保质保量完成。从计划实施情况来说，项目立项到资金监管等方面，程序规范，确保了财政资金规范高效使用。从项目完成情况来说，该项目基本完成相关数量指标，达到预期效益。从项目效果来说，该项目基本实现了项目绩效目标，项目运行效果良好，经济效益、社会效益较好。</w:t>
      </w:r>
      <w:r>
        <w:rPr>
          <w:rFonts w:hint="default" w:ascii="Times New Roman" w:hAnsi="Times New Roman" w:eastAsia="仿宋" w:cs="Times New Roman"/>
          <w:szCs w:val="32"/>
          <w:lang w:val="en-US" w:eastAsia="zh-CN"/>
        </w:rPr>
        <w:t>项目自评</w:t>
      </w:r>
      <w:r>
        <w:rPr>
          <w:rFonts w:hint="eastAsia" w:eastAsia="仿宋" w:cs="Times New Roman"/>
          <w:szCs w:val="32"/>
          <w:lang w:val="en-US" w:eastAsia="zh-CN"/>
        </w:rPr>
        <w:t>87.41</w:t>
      </w:r>
      <w:r>
        <w:rPr>
          <w:rFonts w:hint="default" w:ascii="Times New Roman" w:hAnsi="Times New Roman" w:eastAsia="仿宋" w:cs="Times New Roman"/>
          <w:szCs w:val="32"/>
          <w:lang w:val="en-US" w:eastAsia="zh-CN"/>
        </w:rPr>
        <w:t>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四、绩效评价分析</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（一）项目决策情况。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eastAsia" w:eastAsia="仿宋" w:cs="Times New Roman"/>
          <w:sz w:val="32"/>
          <w:szCs w:val="32"/>
          <w:lang w:val="zh-CN" w:eastAsia="zh-CN"/>
        </w:rPr>
        <w:t>保障中心</w:t>
      </w:r>
      <w:r>
        <w:rPr>
          <w:rFonts w:hint="default" w:ascii="Times New Roman" w:hAnsi="Times New Roman" w:eastAsia="仿宋" w:cs="Times New Roman"/>
          <w:sz w:val="32"/>
          <w:szCs w:val="32"/>
          <w:lang w:val="zh-CN" w:eastAsia="zh-CN"/>
        </w:rPr>
        <w:t>严格按照</w:t>
      </w:r>
      <w:r>
        <w:rPr>
          <w:rFonts w:hint="default" w:ascii="Times New Roman" w:hAnsi="Times New Roman" w:eastAsia="仿宋" w:cs="Times New Roman"/>
          <w:sz w:val="32"/>
          <w:szCs w:val="32"/>
          <w:lang w:val="en-US" w:eastAsia="zh-CN"/>
        </w:rPr>
        <w:t>2020年部门预算批复要求，和单位内部控制管理相关规定，根据项目具体工作内容和绩效目标，开展相关工作。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（二）项目管理情况。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一是加强预算管理。按照《预算法》及财政相关要求，</w:t>
      </w:r>
      <w:r>
        <w:rPr>
          <w:rFonts w:hint="eastAsia" w:eastAsia="仿宋" w:cs="Times New Roman"/>
          <w:sz w:val="32"/>
          <w:szCs w:val="32"/>
          <w:lang w:val="zh-CN" w:eastAsia="zh-CN"/>
        </w:rPr>
        <w:t>保障中心</w:t>
      </w:r>
      <w:r>
        <w:rPr>
          <w:rFonts w:hint="default" w:ascii="Times New Roman" w:hAnsi="Times New Roman" w:eastAsia="仿宋" w:cs="Times New Roman"/>
          <w:sz w:val="32"/>
          <w:szCs w:val="32"/>
          <w:lang w:val="zh-CN" w:eastAsia="zh-CN"/>
        </w:rPr>
        <w:t>按“支出合理、效用优先、保障重点、兼顾一般”的原则，客观、真实、详尽的编制预算。</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eastAsia" w:eastAsia="仿宋" w:cs="Times New Roman"/>
          <w:sz w:val="32"/>
          <w:szCs w:val="32"/>
          <w:lang w:val="zh-CN" w:eastAsia="zh-CN"/>
        </w:rPr>
      </w:pPr>
      <w:r>
        <w:rPr>
          <w:rFonts w:hint="default" w:ascii="Times New Roman" w:hAnsi="Times New Roman" w:eastAsia="仿宋" w:cs="Times New Roman"/>
          <w:sz w:val="32"/>
          <w:szCs w:val="32"/>
          <w:lang w:val="zh-CN" w:eastAsia="zh-CN"/>
        </w:rPr>
        <w:t>二是加强内控建设。按照内控建设相关要求，进一步规范单位内部</w:t>
      </w:r>
      <w:r>
        <w:rPr>
          <w:rFonts w:hint="eastAsia" w:eastAsia="仿宋" w:cs="Times New Roman"/>
          <w:sz w:val="32"/>
          <w:szCs w:val="32"/>
          <w:lang w:val="zh-CN" w:eastAsia="zh-CN"/>
        </w:rPr>
        <w:t>控制</w:t>
      </w:r>
      <w:r>
        <w:rPr>
          <w:rFonts w:hint="default" w:ascii="Times New Roman" w:hAnsi="Times New Roman" w:eastAsia="仿宋" w:cs="Times New Roman"/>
          <w:sz w:val="32"/>
          <w:szCs w:val="32"/>
          <w:lang w:val="zh-CN" w:eastAsia="zh-CN"/>
        </w:rPr>
        <w:t>，强化廉政风险防控管理，</w:t>
      </w:r>
      <w:r>
        <w:rPr>
          <w:rFonts w:hint="eastAsia" w:eastAsia="仿宋" w:cs="Times New Roman"/>
          <w:sz w:val="32"/>
          <w:szCs w:val="32"/>
          <w:lang w:val="zh-CN" w:eastAsia="zh-CN"/>
        </w:rPr>
        <w:t>保障中心制订完善了保障中心内部控制系列管理办法。</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三是加强内部审核监督。对于财政资金的内部监督必须贯穿在整个资金的安排使用中，重点监督付款程序是否合规，付款手续是否完善，资金使用是否合理，原始附件是否齐全等方面，充分发挥财政监督的监控职能，保证财政资金的使用效益，避免违法违纪问题的发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（三）项目产出情况。</w:t>
      </w:r>
    </w:p>
    <w:p>
      <w:pPr>
        <w:spacing w:line="360" w:lineRule="auto"/>
        <w:ind w:firstLine="640" w:firstLineChars="200"/>
        <w:rPr>
          <w:rFonts w:hint="eastAsia" w:ascii="Times New Roman" w:hAnsi="Times New Roman" w:eastAsia="仿宋" w:cs="Times New Roman"/>
          <w:sz w:val="32"/>
          <w:szCs w:val="32"/>
          <w:lang w:val="en-US" w:eastAsia="zh-CN"/>
        </w:rPr>
      </w:pPr>
      <w:r>
        <w:rPr>
          <w:rFonts w:hint="eastAsia" w:eastAsia="仿宋" w:cs="Times New Roman"/>
          <w:sz w:val="32"/>
          <w:szCs w:val="32"/>
          <w:lang w:val="en-US" w:eastAsia="zh-CN"/>
        </w:rPr>
        <w:t>保障中心通过该项目实施保障了机关正常运行。</w:t>
      </w:r>
      <w:r>
        <w:rPr>
          <w:rFonts w:hint="eastAsia" w:ascii="仿宋" w:hAnsi="仿宋" w:eastAsia="仿宋"/>
          <w:color w:val="000000"/>
          <w:sz w:val="30"/>
          <w:szCs w:val="30"/>
          <w:lang w:val="en-US" w:eastAsia="zh-CN"/>
        </w:rPr>
        <w:t>一是解决聘用人员的工资、五险一金、公积金等支出</w:t>
      </w:r>
      <w:r>
        <w:rPr>
          <w:rFonts w:hint="eastAsia" w:ascii="仿宋" w:hAnsi="仿宋" w:eastAsia="仿宋"/>
          <w:color w:val="000000"/>
          <w:sz w:val="30"/>
          <w:szCs w:val="30"/>
          <w:lang w:eastAsia="zh-CN"/>
        </w:rPr>
        <w:t>。二是通过购买服务提供电梯维保、绿化、空调维保、弱电维护、消防等服务。三是备勤用品和其他应急出动物资的购买。</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（四）项目效益情况。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eastAsia" w:ascii="仿宋" w:hAnsi="仿宋" w:eastAsia="仿宋"/>
          <w:color w:val="000000"/>
          <w:sz w:val="30"/>
          <w:szCs w:val="30"/>
          <w:lang w:val="en-US" w:eastAsia="zh-CN"/>
        </w:rPr>
      </w:pPr>
      <w:r>
        <w:rPr>
          <w:rFonts w:hint="default" w:ascii="Times New Roman" w:hAnsi="Times New Roman" w:eastAsia="仿宋" w:cs="Times New Roman"/>
          <w:sz w:val="32"/>
          <w:szCs w:val="32"/>
          <w:lang w:val="en-US" w:eastAsia="zh-CN"/>
        </w:rPr>
        <w:t>通过项目的实施，</w:t>
      </w:r>
      <w:r>
        <w:rPr>
          <w:rFonts w:hint="eastAsia" w:ascii="仿宋" w:hAnsi="仿宋" w:eastAsia="仿宋"/>
          <w:color w:val="000000"/>
          <w:sz w:val="30"/>
          <w:szCs w:val="30"/>
          <w:lang w:eastAsia="zh-CN"/>
        </w:rPr>
        <w:t>一是解决了聘用人员工作福利支出，</w:t>
      </w:r>
      <w:r>
        <w:rPr>
          <w:rFonts w:hint="eastAsia" w:ascii="仿宋" w:hAnsi="仿宋" w:eastAsia="仿宋"/>
          <w:color w:val="000000"/>
          <w:sz w:val="30"/>
          <w:szCs w:val="30"/>
        </w:rPr>
        <w:t>确保</w:t>
      </w:r>
      <w:r>
        <w:rPr>
          <w:rFonts w:hint="eastAsia" w:ascii="仿宋" w:hAnsi="仿宋" w:eastAsia="仿宋"/>
          <w:color w:val="000000"/>
          <w:sz w:val="30"/>
          <w:szCs w:val="30"/>
          <w:lang w:eastAsia="zh-CN"/>
        </w:rPr>
        <w:t>了机关</w:t>
      </w:r>
      <w:r>
        <w:rPr>
          <w:rFonts w:hint="eastAsia" w:ascii="仿宋" w:hAnsi="仿宋" w:eastAsia="仿宋"/>
          <w:color w:val="000000"/>
          <w:sz w:val="30"/>
          <w:szCs w:val="30"/>
        </w:rPr>
        <w:t>日常</w:t>
      </w:r>
      <w:r>
        <w:rPr>
          <w:rFonts w:hint="eastAsia" w:ascii="仿宋" w:hAnsi="仿宋" w:eastAsia="仿宋"/>
          <w:color w:val="000000"/>
          <w:sz w:val="30"/>
          <w:szCs w:val="30"/>
          <w:lang w:eastAsia="zh-CN"/>
        </w:rPr>
        <w:t>正常运行</w:t>
      </w:r>
      <w:r>
        <w:rPr>
          <w:rFonts w:hint="eastAsia" w:ascii="仿宋" w:hAnsi="仿宋" w:eastAsia="仿宋"/>
          <w:color w:val="000000"/>
          <w:sz w:val="30"/>
          <w:szCs w:val="30"/>
        </w:rPr>
        <w:t>需要和应急出动</w:t>
      </w:r>
      <w:r>
        <w:rPr>
          <w:rFonts w:hint="eastAsia" w:ascii="仿宋" w:hAnsi="仿宋" w:eastAsia="仿宋"/>
          <w:color w:val="000000"/>
          <w:sz w:val="30"/>
          <w:szCs w:val="30"/>
          <w:lang w:eastAsia="zh-CN"/>
        </w:rPr>
        <w:t>保障</w:t>
      </w:r>
      <w:r>
        <w:rPr>
          <w:rFonts w:hint="eastAsia" w:ascii="仿宋" w:hAnsi="仿宋" w:eastAsia="仿宋"/>
          <w:color w:val="000000"/>
          <w:sz w:val="30"/>
          <w:szCs w:val="30"/>
        </w:rPr>
        <w:t>需要</w:t>
      </w:r>
      <w:r>
        <w:rPr>
          <w:rFonts w:hint="eastAsia" w:ascii="仿宋" w:hAnsi="仿宋" w:eastAsia="仿宋"/>
          <w:color w:val="000000"/>
          <w:sz w:val="30"/>
          <w:szCs w:val="30"/>
          <w:lang w:eastAsia="zh-CN"/>
        </w:rPr>
        <w:t>。二是通过购买服务</w:t>
      </w:r>
      <w:r>
        <w:rPr>
          <w:rFonts w:hint="eastAsia" w:ascii="仿宋" w:hAnsi="仿宋" w:eastAsia="仿宋"/>
          <w:color w:val="000000"/>
          <w:sz w:val="30"/>
          <w:szCs w:val="30"/>
          <w:lang w:val="en-US" w:eastAsia="zh-CN"/>
        </w:rPr>
        <w:t>方</w:t>
      </w:r>
      <w:r>
        <w:rPr>
          <w:rFonts w:hint="eastAsia" w:ascii="仿宋" w:hAnsi="仿宋" w:eastAsia="仿宋"/>
          <w:color w:val="000000"/>
          <w:sz w:val="30"/>
          <w:szCs w:val="30"/>
          <w:lang w:eastAsia="zh-CN"/>
        </w:rPr>
        <w:t>提供、电梯维保、绿化、空调维保、弱电维护、消防等服务，</w:t>
      </w:r>
      <w:r>
        <w:rPr>
          <w:rFonts w:hint="eastAsia" w:ascii="仿宋" w:hAnsi="仿宋" w:eastAsia="仿宋"/>
          <w:color w:val="000000"/>
          <w:sz w:val="30"/>
          <w:szCs w:val="30"/>
          <w:lang w:val="en-US" w:eastAsia="zh-CN"/>
        </w:rPr>
        <w:t>保障了</w:t>
      </w:r>
      <w:r>
        <w:rPr>
          <w:rFonts w:hint="eastAsia" w:ascii="仿宋" w:hAnsi="仿宋" w:eastAsia="仿宋"/>
          <w:color w:val="000000"/>
          <w:sz w:val="30"/>
          <w:szCs w:val="30"/>
          <w:lang w:eastAsia="zh-CN"/>
        </w:rPr>
        <w:t>机关</w:t>
      </w:r>
      <w:r>
        <w:rPr>
          <w:rFonts w:hint="eastAsia" w:ascii="仿宋" w:hAnsi="仿宋" w:eastAsia="仿宋"/>
          <w:color w:val="000000"/>
          <w:sz w:val="30"/>
          <w:szCs w:val="30"/>
          <w:lang w:val="en-US" w:eastAsia="zh-CN"/>
        </w:rPr>
        <w:t>正常</w:t>
      </w:r>
      <w:r>
        <w:rPr>
          <w:rFonts w:hint="eastAsia" w:ascii="仿宋" w:hAnsi="仿宋" w:eastAsia="仿宋"/>
          <w:color w:val="000000"/>
          <w:sz w:val="30"/>
          <w:szCs w:val="30"/>
          <w:lang w:eastAsia="zh-CN"/>
        </w:rPr>
        <w:t>运行，同时也</w:t>
      </w:r>
      <w:r>
        <w:rPr>
          <w:rFonts w:hint="eastAsia" w:ascii="仿宋" w:hAnsi="仿宋" w:eastAsia="仿宋"/>
          <w:color w:val="000000"/>
          <w:sz w:val="30"/>
          <w:szCs w:val="30"/>
          <w:lang w:val="en-US" w:eastAsia="zh-CN"/>
        </w:rPr>
        <w:t>保障了</w:t>
      </w:r>
      <w:r>
        <w:rPr>
          <w:rFonts w:hint="eastAsia" w:ascii="仿宋" w:hAnsi="仿宋" w:eastAsia="仿宋"/>
          <w:color w:val="000000"/>
          <w:sz w:val="30"/>
          <w:szCs w:val="30"/>
          <w:lang w:eastAsia="zh-CN"/>
        </w:rPr>
        <w:t>机关安全</w:t>
      </w:r>
      <w:r>
        <w:rPr>
          <w:rFonts w:hint="eastAsia" w:ascii="仿宋" w:hAnsi="仿宋" w:eastAsia="仿宋"/>
          <w:color w:val="000000"/>
          <w:sz w:val="30"/>
          <w:szCs w:val="30"/>
          <w:lang w:val="en-US" w:eastAsia="zh-CN"/>
        </w:rPr>
        <w:t>运行</w:t>
      </w:r>
      <w:r>
        <w:rPr>
          <w:rFonts w:hint="eastAsia" w:ascii="仿宋" w:hAnsi="仿宋" w:eastAsia="仿宋"/>
          <w:color w:val="000000"/>
          <w:sz w:val="30"/>
          <w:szCs w:val="30"/>
          <w:lang w:eastAsia="zh-CN"/>
        </w:rPr>
        <w:t>。三是通过该项目保障了应急出动所需，为全省应急保障提供坚实基础。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五、存在主要问题</w:t>
      </w:r>
    </w:p>
    <w:p>
      <w:pPr>
        <w:pStyle w:val="19"/>
        <w:spacing w:line="600" w:lineRule="exact"/>
        <w:ind w:firstLine="634"/>
        <w:rPr>
          <w:rFonts w:hint="default" w:ascii="Times New Roman" w:hAnsi="Times New Roman" w:eastAsia="仿宋" w:cs="Times New Roman"/>
          <w:szCs w:val="32"/>
          <w:lang w:val="en-US" w:eastAsia="zh-CN"/>
        </w:rPr>
      </w:pPr>
      <w:r>
        <w:rPr>
          <w:rFonts w:hint="default" w:ascii="Times New Roman" w:hAnsi="Times New Roman" w:eastAsia="仿宋" w:cs="Times New Roman"/>
          <w:szCs w:val="32"/>
          <w:lang w:val="en-US" w:eastAsia="zh-CN"/>
        </w:rPr>
        <w:t>一是预算执行进度未达到100%。二是</w:t>
      </w:r>
      <w:r>
        <w:rPr>
          <w:rFonts w:hint="default" w:ascii="Times New Roman" w:hAnsi="Times New Roman" w:eastAsia="仿宋" w:cs="Times New Roman"/>
          <w:szCs w:val="32"/>
          <w:lang w:val="zh-CN" w:eastAsia="zh-CN"/>
        </w:rPr>
        <w:t>需进一步提升项目的绩效目标编制水平，提高绩效评价指标质量。</w:t>
      </w:r>
      <w:r>
        <w:rPr>
          <w:rFonts w:hint="default" w:ascii="Times New Roman" w:hAnsi="Times New Roman" w:eastAsia="仿宋" w:cs="Times New Roman"/>
          <w:szCs w:val="32"/>
          <w:lang w:val="en-US" w:eastAsia="zh-CN"/>
        </w:rPr>
        <w:t>三是</w:t>
      </w:r>
      <w:r>
        <w:rPr>
          <w:rFonts w:hint="default" w:ascii="Times New Roman" w:hAnsi="Times New Roman" w:eastAsia="仿宋" w:cs="Times New Roman"/>
          <w:szCs w:val="32"/>
          <w:lang w:val="zh-CN" w:eastAsia="zh-CN"/>
        </w:rPr>
        <w:t>充分适应新时代的新要求，加大项目资金全过程监管力度，通过事前、事中、事后的全方位跟踪检查，有效提升绩效管理水平。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六、相关措施建议</w:t>
      </w:r>
    </w:p>
    <w:p>
      <w:pPr>
        <w:pStyle w:val="19"/>
        <w:spacing w:line="600" w:lineRule="exact"/>
        <w:ind w:firstLine="634"/>
        <w:rPr>
          <w:rFonts w:hint="default" w:ascii="Times New Roman" w:hAnsi="Times New Roman" w:eastAsia="仿宋" w:cs="Times New Roman"/>
          <w:szCs w:val="32"/>
          <w:lang w:val="en-US" w:eastAsia="zh-CN"/>
        </w:rPr>
      </w:pPr>
      <w:r>
        <w:rPr>
          <w:rFonts w:hint="default" w:ascii="Times New Roman" w:hAnsi="Times New Roman" w:eastAsia="仿宋" w:cs="Times New Roman"/>
          <w:szCs w:val="32"/>
          <w:lang w:val="en-US" w:eastAsia="zh-CN"/>
        </w:rPr>
        <w:t>（一）深入学习领会全省实施预算绩效管理的</w:t>
      </w:r>
      <w:r>
        <w:rPr>
          <w:rFonts w:hint="eastAsia" w:eastAsia="仿宋" w:cs="Times New Roman"/>
          <w:szCs w:val="32"/>
          <w:lang w:val="en-US" w:eastAsia="zh-CN"/>
        </w:rPr>
        <w:t>要求</w:t>
      </w:r>
      <w:r>
        <w:rPr>
          <w:rFonts w:hint="default" w:ascii="Times New Roman" w:hAnsi="Times New Roman" w:eastAsia="仿宋" w:cs="Times New Roman"/>
          <w:szCs w:val="32"/>
          <w:lang w:val="en-US" w:eastAsia="zh-CN"/>
        </w:rPr>
        <w:t>，继续高度重视预算绩效管理工作，及早谋划和布置</w:t>
      </w:r>
      <w:r>
        <w:rPr>
          <w:rFonts w:hint="eastAsia" w:eastAsia="仿宋" w:cs="Times New Roman"/>
          <w:szCs w:val="32"/>
          <w:lang w:val="en-US" w:eastAsia="zh-CN"/>
        </w:rPr>
        <w:t>下一</w:t>
      </w:r>
      <w:r>
        <w:rPr>
          <w:rFonts w:hint="default" w:ascii="Times New Roman" w:hAnsi="Times New Roman" w:eastAsia="仿宋" w:cs="Times New Roman"/>
          <w:szCs w:val="32"/>
          <w:lang w:val="en-US" w:eastAsia="zh-CN"/>
        </w:rPr>
        <w:t>年度预算绩效目标编制工作，提出编制方案，明确编制要求，确保绩效目标科学合理。</w:t>
      </w:r>
    </w:p>
    <w:p>
      <w:pPr>
        <w:pStyle w:val="19"/>
        <w:spacing w:line="600" w:lineRule="exact"/>
        <w:ind w:firstLine="634"/>
        <w:rPr>
          <w:rFonts w:hint="default" w:ascii="Times New Roman" w:hAnsi="Times New Roman" w:eastAsia="仿宋" w:cs="Times New Roman"/>
          <w:szCs w:val="32"/>
          <w:lang w:val="en-US" w:eastAsia="zh-CN"/>
        </w:rPr>
      </w:pPr>
      <w:r>
        <w:rPr>
          <w:rFonts w:hint="default" w:ascii="Times New Roman" w:hAnsi="Times New Roman" w:eastAsia="仿宋" w:cs="Times New Roman"/>
          <w:szCs w:val="32"/>
          <w:lang w:val="en-US" w:eastAsia="zh-CN"/>
        </w:rPr>
        <w:t>（二）进一步加强预算绩效目标管理，确保指向明确、细化量化、合理可行、相应匹配。精确设置绩效指标，合理确定指标值，全面反映产出、结果、成本和效益等绩效信息，切实提高绩效目标编制质量。</w:t>
      </w:r>
    </w:p>
    <w:p>
      <w:pPr>
        <w:pStyle w:val="19"/>
        <w:spacing w:line="600" w:lineRule="exact"/>
        <w:ind w:firstLine="634"/>
        <w:rPr>
          <w:rFonts w:hint="default" w:ascii="Times New Roman" w:hAnsi="Times New Roman" w:eastAsia="仿宋" w:cs="Times New Roman"/>
          <w:szCs w:val="32"/>
          <w:lang w:val="en-US" w:eastAsia="zh-CN"/>
        </w:rPr>
      </w:pPr>
      <w:r>
        <w:rPr>
          <w:rFonts w:hint="default" w:ascii="Times New Roman" w:hAnsi="Times New Roman" w:eastAsia="仿宋" w:cs="Times New Roman"/>
          <w:szCs w:val="32"/>
          <w:lang w:val="en-US" w:eastAsia="zh-CN"/>
        </w:rPr>
        <w:t>（三）严格资金管理。严格按照相关文件要求，管好、用好专项资金，确保财政资金效益。</w:t>
      </w:r>
    </w:p>
    <w:p>
      <w:pPr>
        <w:pStyle w:val="19"/>
        <w:spacing w:line="600" w:lineRule="exact"/>
        <w:ind w:firstLine="634"/>
        <w:rPr>
          <w:rFonts w:hint="default" w:ascii="Times New Roman" w:hAnsi="Times New Roman" w:eastAsia="仿宋" w:cs="Times New Roman"/>
          <w:szCs w:val="32"/>
          <w:lang w:val="en-US" w:eastAsia="zh-CN"/>
        </w:rPr>
      </w:pPr>
      <w:r>
        <w:rPr>
          <w:rFonts w:hint="default" w:ascii="Times New Roman" w:hAnsi="Times New Roman" w:eastAsia="仿宋" w:cs="Times New Roman"/>
          <w:szCs w:val="32"/>
          <w:lang w:val="en-US" w:eastAsia="zh-CN"/>
        </w:rPr>
        <w:t>（四）建立</w:t>
      </w:r>
      <w:r>
        <w:rPr>
          <w:rFonts w:hint="eastAsia" w:eastAsia="仿宋" w:cs="Times New Roman"/>
          <w:szCs w:val="32"/>
          <w:lang w:val="en-US" w:eastAsia="zh-CN"/>
        </w:rPr>
        <w:t>日常监管</w:t>
      </w:r>
      <w:r>
        <w:rPr>
          <w:rFonts w:hint="default" w:ascii="Times New Roman" w:hAnsi="Times New Roman" w:eastAsia="仿宋" w:cs="Times New Roman"/>
          <w:szCs w:val="32"/>
          <w:lang w:val="en-US" w:eastAsia="zh-CN"/>
        </w:rPr>
        <w:t>机制。</w:t>
      </w:r>
      <w:r>
        <w:rPr>
          <w:rFonts w:hint="eastAsia" w:eastAsia="仿宋" w:cs="Times New Roman"/>
          <w:szCs w:val="32"/>
          <w:lang w:val="en-US" w:eastAsia="zh-CN"/>
        </w:rPr>
        <w:t>加强对项目的日常进度监管，科学、合理、合法加快使用项目资金</w:t>
      </w:r>
      <w:r>
        <w:rPr>
          <w:rFonts w:hint="default" w:ascii="Times New Roman" w:hAnsi="Times New Roman" w:eastAsia="仿宋" w:cs="Times New Roman"/>
          <w:szCs w:val="32"/>
          <w:lang w:val="en-US" w:eastAsia="zh-CN"/>
        </w:rPr>
        <w:t>，严格按照有关规定、程序，保质保量完成绩效指标。</w:t>
      </w: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sz w:val="32"/>
          <w:szCs w:val="32"/>
          <w:lang w:val="en-US" w:eastAsia="zh-CN"/>
        </w:rPr>
      </w:pPr>
    </w:p>
    <w:p>
      <w:pPr>
        <w:adjustRightInd w:val="0"/>
        <w:snapToGrid w:val="0"/>
        <w:spacing w:line="600" w:lineRule="exact"/>
        <w:ind w:firstLine="640" w:firstLineChars="200"/>
        <w:rPr>
          <w:rFonts w:ascii="仿宋_GB2312" w:hAnsi="仿宋_GB2312" w:eastAsia="仿宋_GB2312" w:cs="仿宋_GB2312"/>
          <w:color w:val="FF0000"/>
          <w:sz w:val="32"/>
          <w:szCs w:val="32"/>
        </w:rPr>
      </w:pPr>
    </w:p>
    <w:p>
      <w:pPr>
        <w:pStyle w:val="2"/>
      </w:pPr>
    </w:p>
    <w:p>
      <w:pPr>
        <w:spacing w:line="600" w:lineRule="exact"/>
        <w:jc w:val="center"/>
        <w:outlineLvl w:val="0"/>
        <w:rPr>
          <w:rFonts w:hint="eastAsia" w:ascii="黑体" w:hAnsi="黑体" w:eastAsia="黑体"/>
          <w:color w:val="000000"/>
          <w:sz w:val="44"/>
          <w:szCs w:val="44"/>
        </w:rPr>
      </w:pPr>
      <w:bookmarkStart w:id="46"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仿宋" w:hAnsi="仿宋" w:eastAsia="仿宋"/>
          <w:b w:val="0"/>
          <w:color w:val="000000"/>
        </w:rPr>
      </w:pPr>
      <w:r>
        <w:rPr>
          <w:rFonts w:hint="eastAsia" w:ascii="黑体" w:hAnsi="黑体" w:eastAsia="黑体"/>
          <w:color w:val="000000"/>
          <w:sz w:val="44"/>
          <w:szCs w:val="44"/>
        </w:rPr>
        <w:t>第</w:t>
      </w:r>
      <w:r>
        <w:rPr>
          <w:rStyle w:val="15"/>
          <w:rFonts w:hint="eastAsia" w:ascii="黑体" w:hAnsi="黑体" w:eastAsia="黑体"/>
          <w:b w:val="0"/>
        </w:rPr>
        <w:t>五部分 附表</w:t>
      </w:r>
      <w:bookmarkEnd w:id="44"/>
      <w:bookmarkEnd w:id="46"/>
      <w:bookmarkStart w:id="47" w:name="_Toc15396619"/>
    </w:p>
    <w:p>
      <w:pPr>
        <w:pStyle w:val="6"/>
        <w:rPr>
          <w:rFonts w:ascii="仿宋" w:hAnsi="仿宋" w:eastAsia="仿宋"/>
          <w:color w:val="000000"/>
        </w:rPr>
      </w:pPr>
      <w:r>
        <w:rPr>
          <w:rFonts w:hint="eastAsia" w:ascii="仿宋" w:hAnsi="仿宋" w:eastAsia="仿宋"/>
          <w:b w:val="0"/>
          <w:color w:val="000000"/>
        </w:rPr>
        <w:t>一、收</w:t>
      </w:r>
      <w:r>
        <w:rPr>
          <w:rStyle w:val="17"/>
          <w:rFonts w:hint="eastAsia" w:ascii="仿宋" w:hAnsi="仿宋" w:eastAsia="仿宋"/>
          <w:b w:val="0"/>
          <w:bCs w:val="0"/>
        </w:rPr>
        <w:t>入支出决算总表</w:t>
      </w:r>
      <w:bookmarkEnd w:id="47"/>
    </w:p>
    <w:p>
      <w:pPr>
        <w:pStyle w:val="6"/>
        <w:rPr>
          <w:rFonts w:ascii="仿宋" w:hAnsi="仿宋" w:eastAsia="仿宋"/>
          <w:color w:val="000000"/>
        </w:rPr>
      </w:pPr>
      <w:bookmarkStart w:id="48" w:name="_Toc15396620"/>
      <w:r>
        <w:rPr>
          <w:rFonts w:hint="eastAsia" w:ascii="仿宋" w:hAnsi="仿宋" w:eastAsia="仿宋"/>
          <w:b w:val="0"/>
          <w:color w:val="000000"/>
        </w:rPr>
        <w:t>二、收</w:t>
      </w:r>
      <w:r>
        <w:rPr>
          <w:rStyle w:val="17"/>
          <w:rFonts w:hint="eastAsia" w:ascii="仿宋" w:hAnsi="仿宋" w:eastAsia="仿宋"/>
          <w:b w:val="0"/>
          <w:bCs w:val="0"/>
        </w:rPr>
        <w:t>入决算表</w:t>
      </w:r>
      <w:bookmarkEnd w:id="48"/>
    </w:p>
    <w:p>
      <w:pPr>
        <w:pStyle w:val="6"/>
        <w:rPr>
          <w:rFonts w:ascii="仿宋" w:hAnsi="仿宋" w:eastAsia="仿宋"/>
          <w:color w:val="000000"/>
        </w:rPr>
      </w:pPr>
      <w:bookmarkStart w:id="49"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出决算表</w:t>
      </w:r>
      <w:bookmarkEnd w:id="49"/>
    </w:p>
    <w:p>
      <w:pPr>
        <w:pStyle w:val="6"/>
        <w:rPr>
          <w:rFonts w:ascii="仿宋" w:hAnsi="仿宋" w:eastAsia="仿宋"/>
          <w:b w:val="0"/>
          <w:color w:val="000000"/>
        </w:rPr>
      </w:pPr>
      <w:bookmarkStart w:id="50"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50"/>
    </w:p>
    <w:p>
      <w:pPr>
        <w:pStyle w:val="6"/>
        <w:rPr>
          <w:rStyle w:val="17"/>
          <w:rFonts w:ascii="仿宋" w:hAnsi="仿宋" w:eastAsia="仿宋"/>
          <w:b w:val="0"/>
          <w:bCs w:val="0"/>
        </w:rPr>
      </w:pPr>
      <w:bookmarkStart w:id="51"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51"/>
      <w:bookmarkStart w:id="52" w:name="_Toc15396624"/>
    </w:p>
    <w:p>
      <w:pPr>
        <w:pStyle w:val="6"/>
        <w:rPr>
          <w:rFonts w:ascii="仿宋" w:hAnsi="仿宋" w:eastAsia="仿宋"/>
          <w:color w:val="000000"/>
        </w:rPr>
      </w:pPr>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52"/>
    </w:p>
    <w:p>
      <w:pPr>
        <w:pStyle w:val="6"/>
        <w:rPr>
          <w:rFonts w:ascii="仿宋" w:hAnsi="仿宋" w:eastAsia="仿宋"/>
          <w:color w:val="000000"/>
        </w:rPr>
      </w:pPr>
      <w:bookmarkStart w:id="53"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53"/>
    </w:p>
    <w:p>
      <w:pPr>
        <w:pStyle w:val="6"/>
        <w:rPr>
          <w:rFonts w:ascii="仿宋" w:hAnsi="仿宋" w:eastAsia="仿宋"/>
          <w:color w:val="000000"/>
        </w:rPr>
      </w:pPr>
      <w:bookmarkStart w:id="54"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54"/>
    </w:p>
    <w:p>
      <w:pPr>
        <w:pStyle w:val="6"/>
        <w:rPr>
          <w:rFonts w:ascii="仿宋" w:hAnsi="仿宋" w:eastAsia="仿宋"/>
          <w:color w:val="000000"/>
        </w:rPr>
      </w:pPr>
      <w:bookmarkStart w:id="55"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55"/>
    </w:p>
    <w:p>
      <w:pPr>
        <w:pStyle w:val="6"/>
        <w:rPr>
          <w:rFonts w:ascii="仿宋" w:hAnsi="仿宋" w:eastAsia="仿宋"/>
          <w:color w:val="000000"/>
        </w:rPr>
      </w:pPr>
      <w:bookmarkStart w:id="56"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56"/>
    </w:p>
    <w:p>
      <w:pPr>
        <w:pStyle w:val="6"/>
        <w:rPr>
          <w:rFonts w:ascii="仿宋" w:hAnsi="仿宋" w:eastAsia="仿宋"/>
          <w:color w:val="000000"/>
        </w:rPr>
      </w:pPr>
      <w:bookmarkStart w:id="57"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57"/>
    </w:p>
    <w:p>
      <w:pPr>
        <w:pStyle w:val="6"/>
        <w:rPr>
          <w:rFonts w:ascii="仿宋" w:hAnsi="仿宋" w:eastAsia="仿宋"/>
          <w:color w:val="000000"/>
        </w:rPr>
      </w:pPr>
      <w:bookmarkStart w:id="58"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58"/>
    </w:p>
    <w:p>
      <w:pPr>
        <w:pStyle w:val="6"/>
        <w:rPr>
          <w:rStyle w:val="17"/>
          <w:rFonts w:hint="eastAsia" w:ascii="仿宋" w:hAnsi="仿宋" w:eastAsia="仿宋"/>
          <w:b w:val="0"/>
          <w:bCs w:val="0"/>
        </w:rPr>
      </w:pPr>
      <w:bookmarkStart w:id="59"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w:t>
      </w:r>
      <w:r>
        <w:rPr>
          <w:rStyle w:val="17"/>
          <w:rFonts w:hint="eastAsia" w:ascii="仿宋" w:hAnsi="仿宋" w:eastAsia="仿宋"/>
          <w:b w:val="0"/>
          <w:bCs w:val="0"/>
          <w:lang w:eastAsia="zh-CN"/>
        </w:rPr>
        <w:t>财政拨款收入</w:t>
      </w:r>
      <w:r>
        <w:rPr>
          <w:rStyle w:val="17"/>
          <w:rFonts w:hint="eastAsia" w:ascii="仿宋" w:hAnsi="仿宋" w:eastAsia="仿宋"/>
          <w:b w:val="0"/>
          <w:bCs w:val="0"/>
        </w:rPr>
        <w:t>支出决算表</w:t>
      </w:r>
      <w:bookmarkEnd w:id="59"/>
    </w:p>
    <w:p>
      <w:pPr>
        <w:rPr>
          <w:rFonts w:hint="eastAsia" w:eastAsia="仿宋"/>
          <w:lang w:eastAsia="zh-CN"/>
        </w:rPr>
      </w:pPr>
      <w:r>
        <w:rPr>
          <w:rStyle w:val="17"/>
          <w:rFonts w:hint="eastAsia" w:ascii="仿宋" w:hAnsi="仿宋" w:eastAsia="仿宋"/>
          <w:b w:val="0"/>
          <w:bCs w:val="0"/>
          <w:lang w:eastAsia="zh-CN"/>
        </w:rPr>
        <w:t>十四、国有资本经营预算财政拨款支出决算表</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3DDEDB-8FB0-4D27-838B-79983F24D0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FB565AF-9B09-4AF0-B4A8-3C43078ECE28}"/>
  </w:font>
  <w:font w:name="Calibri Light">
    <w:panose1 w:val="020F0302020204030204"/>
    <w:charset w:val="00"/>
    <w:family w:val="auto"/>
    <w:pitch w:val="default"/>
    <w:sig w:usb0="E4002EFF" w:usb1="C000247B" w:usb2="00000009" w:usb3="00000000" w:csb0="200001FF" w:csb1="00000000"/>
    <w:embedRegular r:id="rId3" w:fontKey="{0C8EBC24-4B6E-4518-83FF-05246E9C1B0F}"/>
  </w:font>
  <w:font w:name="仿宋_GB2312">
    <w:panose1 w:val="02010609030101010101"/>
    <w:charset w:val="86"/>
    <w:family w:val="modern"/>
    <w:pitch w:val="default"/>
    <w:sig w:usb0="00000001" w:usb1="080E0000" w:usb2="00000000" w:usb3="00000000" w:csb0="00040000" w:csb1="00000000"/>
    <w:embedRegular r:id="rId4" w:fontKey="{99F4269C-36E3-41E8-B2F5-CC8A9911BA0F}"/>
  </w:font>
  <w:font w:name="仿宋">
    <w:panose1 w:val="02010609060101010101"/>
    <w:charset w:val="86"/>
    <w:family w:val="auto"/>
    <w:pitch w:val="default"/>
    <w:sig w:usb0="800002BF" w:usb1="38CF7CFA" w:usb2="00000016" w:usb3="00000000" w:csb0="00040001" w:csb1="00000000"/>
    <w:embedRegular r:id="rId5" w:fontKey="{112E8FBB-DCFE-4DCD-BCEC-915BCAFF03D8}"/>
  </w:font>
  <w:font w:name="方正小标宋简体">
    <w:panose1 w:val="02000000000000000000"/>
    <w:charset w:val="86"/>
    <w:family w:val="script"/>
    <w:pitch w:val="default"/>
    <w:sig w:usb0="00000001" w:usb1="08000000" w:usb2="00000000" w:usb3="00000000" w:csb0="00040000" w:csb1="00000000"/>
    <w:embedRegular r:id="rId6" w:fontKey="{E5D52A95-67CA-4978-846F-09436B5F8C14}"/>
  </w:font>
  <w:font w:name="楷体">
    <w:panose1 w:val="02010609060101010101"/>
    <w:charset w:val="86"/>
    <w:family w:val="auto"/>
    <w:pitch w:val="default"/>
    <w:sig w:usb0="800002BF" w:usb1="38CF7CFA" w:usb2="00000016" w:usb3="00000000" w:csb0="00040001" w:csb1="00000000"/>
    <w:embedRegular r:id="rId7" w:fontKey="{23E64CED-EA09-42CB-9F02-0EBD09389438}"/>
  </w:font>
  <w:font w:name="楷体_GB2312">
    <w:altName w:val="楷体"/>
    <w:panose1 w:val="02010609030101010101"/>
    <w:charset w:val="86"/>
    <w:family w:val="auto"/>
    <w:pitch w:val="default"/>
    <w:sig w:usb0="00000000" w:usb1="00000000" w:usb2="00000000" w:usb3="00000000" w:csb0="00040000" w:csb1="00000000"/>
    <w:embedRegular r:id="rId8" w:fontKey="{467A0952-1A82-451A-9D5A-F137695D906D}"/>
  </w:font>
  <w:font w:name="华文仿宋">
    <w:panose1 w:val="02010600040101010101"/>
    <w:charset w:val="86"/>
    <w:family w:val="auto"/>
    <w:pitch w:val="default"/>
    <w:sig w:usb0="00000287" w:usb1="080F0000" w:usb2="00000000" w:usb3="00000000" w:csb0="0004009F" w:csb1="DFD70000"/>
    <w:embedRegular r:id="rId9" w:fontKey="{73E995FA-5C07-4B5E-9F15-E10A99F577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22"/>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91FE3EB"/>
    <w:multiLevelType w:val="singleLevel"/>
    <w:tmpl w:val="B91FE3EB"/>
    <w:lvl w:ilvl="0" w:tentative="0">
      <w:start w:val="3"/>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CE574C1"/>
    <w:multiLevelType w:val="singleLevel"/>
    <w:tmpl w:val="DCE574C1"/>
    <w:lvl w:ilvl="0" w:tentative="0">
      <w:start w:val="1"/>
      <w:numFmt w:val="decimal"/>
      <w:lvlText w:val="%1."/>
      <w:lvlJc w:val="left"/>
      <w:pPr>
        <w:tabs>
          <w:tab w:val="left" w:pos="312"/>
        </w:tabs>
      </w:pPr>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F94BBD99"/>
    <w:multiLevelType w:val="singleLevel"/>
    <w:tmpl w:val="F94BBD99"/>
    <w:lvl w:ilvl="0" w:tentative="0">
      <w:start w:val="1"/>
      <w:numFmt w:val="decimal"/>
      <w:suff w:val="nothing"/>
      <w:lvlText w:val="（%1）"/>
      <w:lvlJc w:val="left"/>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9939060"/>
    <w:multiLevelType w:val="singleLevel"/>
    <w:tmpl w:val="49939060"/>
    <w:lvl w:ilvl="0" w:tentative="0">
      <w:start w:val="2"/>
      <w:numFmt w:val="chineseCounting"/>
      <w:suff w:val="space"/>
      <w:lvlText w:val="第%1部分"/>
      <w:lvlJc w:val="left"/>
      <w:pPr>
        <w:ind w:left="459" w:leftChars="0" w:firstLine="0" w:firstLineChars="0"/>
      </w:pPr>
      <w:rPr>
        <w:rFonts w:hint="eastAsia"/>
      </w:rPr>
    </w:lvl>
  </w:abstractNum>
  <w:num w:numId="1">
    <w:abstractNumId w:val="0"/>
  </w:num>
  <w:num w:numId="2">
    <w:abstractNumId w:val="1"/>
  </w:num>
  <w:num w:numId="3">
    <w:abstractNumId w:val="7"/>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DgxYmNjODY1NWU5NDg4ZDFmZjJhNjY1ODc0NTkifQ=="/>
  </w:docVars>
  <w:rsids>
    <w:rsidRoot w:val="00000000"/>
    <w:rsid w:val="00F07F4D"/>
    <w:rsid w:val="0129006C"/>
    <w:rsid w:val="02372072"/>
    <w:rsid w:val="02415587"/>
    <w:rsid w:val="03895669"/>
    <w:rsid w:val="03B904E9"/>
    <w:rsid w:val="03FC57F3"/>
    <w:rsid w:val="044F6732"/>
    <w:rsid w:val="0495217D"/>
    <w:rsid w:val="05DCC382"/>
    <w:rsid w:val="075B546B"/>
    <w:rsid w:val="07D04716"/>
    <w:rsid w:val="097222EF"/>
    <w:rsid w:val="09BE244D"/>
    <w:rsid w:val="09F11724"/>
    <w:rsid w:val="09F723E4"/>
    <w:rsid w:val="0A10530E"/>
    <w:rsid w:val="0A4630D6"/>
    <w:rsid w:val="0C280E7E"/>
    <w:rsid w:val="0CD85CC2"/>
    <w:rsid w:val="0DDB2ABE"/>
    <w:rsid w:val="0E457139"/>
    <w:rsid w:val="0E9A1F9D"/>
    <w:rsid w:val="0EEC4172"/>
    <w:rsid w:val="0FC34B89"/>
    <w:rsid w:val="12817A45"/>
    <w:rsid w:val="12A30F17"/>
    <w:rsid w:val="15953AAA"/>
    <w:rsid w:val="17FDAFFC"/>
    <w:rsid w:val="186050F1"/>
    <w:rsid w:val="196F26D3"/>
    <w:rsid w:val="1A634414"/>
    <w:rsid w:val="1B742074"/>
    <w:rsid w:val="1B951BE5"/>
    <w:rsid w:val="1C5D5602"/>
    <w:rsid w:val="1CE64C4F"/>
    <w:rsid w:val="1DDFA78E"/>
    <w:rsid w:val="1DF561AA"/>
    <w:rsid w:val="1E24320E"/>
    <w:rsid w:val="1F72748B"/>
    <w:rsid w:val="1FCB28C5"/>
    <w:rsid w:val="1FF6339B"/>
    <w:rsid w:val="213E49A3"/>
    <w:rsid w:val="2223641B"/>
    <w:rsid w:val="23001913"/>
    <w:rsid w:val="25FF1186"/>
    <w:rsid w:val="29192F47"/>
    <w:rsid w:val="2A6F52B9"/>
    <w:rsid w:val="2C132019"/>
    <w:rsid w:val="2C575D49"/>
    <w:rsid w:val="2C94674D"/>
    <w:rsid w:val="2CAA1FDD"/>
    <w:rsid w:val="2CDE043A"/>
    <w:rsid w:val="2D5FAFC9"/>
    <w:rsid w:val="2DB92E0F"/>
    <w:rsid w:val="2DBF6A64"/>
    <w:rsid w:val="2DCA3B75"/>
    <w:rsid w:val="2E3B4984"/>
    <w:rsid w:val="2E64562F"/>
    <w:rsid w:val="2E8D09A5"/>
    <w:rsid w:val="2EF6435D"/>
    <w:rsid w:val="2F4EFD4B"/>
    <w:rsid w:val="30C37E0B"/>
    <w:rsid w:val="30D84DAA"/>
    <w:rsid w:val="31752C86"/>
    <w:rsid w:val="31B50C8C"/>
    <w:rsid w:val="32A6668C"/>
    <w:rsid w:val="32A84F00"/>
    <w:rsid w:val="32F83B6E"/>
    <w:rsid w:val="33D31C57"/>
    <w:rsid w:val="33F80A38"/>
    <w:rsid w:val="33FFB132"/>
    <w:rsid w:val="340F00F0"/>
    <w:rsid w:val="35B53FBD"/>
    <w:rsid w:val="36551178"/>
    <w:rsid w:val="368E751B"/>
    <w:rsid w:val="370205AE"/>
    <w:rsid w:val="373D9791"/>
    <w:rsid w:val="376C618A"/>
    <w:rsid w:val="376F11B2"/>
    <w:rsid w:val="37A259AF"/>
    <w:rsid w:val="37BBF81C"/>
    <w:rsid w:val="37EFFCA1"/>
    <w:rsid w:val="37FFB6BD"/>
    <w:rsid w:val="3885288F"/>
    <w:rsid w:val="38E15D2A"/>
    <w:rsid w:val="39074646"/>
    <w:rsid w:val="391B1B66"/>
    <w:rsid w:val="39724DC9"/>
    <w:rsid w:val="39FE5A91"/>
    <w:rsid w:val="3A74635D"/>
    <w:rsid w:val="3AE247F7"/>
    <w:rsid w:val="3B3F8C46"/>
    <w:rsid w:val="3C1270C4"/>
    <w:rsid w:val="3C8DE244"/>
    <w:rsid w:val="3CCC73CB"/>
    <w:rsid w:val="3CEF31C1"/>
    <w:rsid w:val="3D0454C9"/>
    <w:rsid w:val="3D6D5550"/>
    <w:rsid w:val="3D9B86FB"/>
    <w:rsid w:val="3DA126E0"/>
    <w:rsid w:val="3DE7212F"/>
    <w:rsid w:val="3DF75B02"/>
    <w:rsid w:val="3E3B47D0"/>
    <w:rsid w:val="3E3F4FDC"/>
    <w:rsid w:val="3E4F0C70"/>
    <w:rsid w:val="3E8FD638"/>
    <w:rsid w:val="3ED962D9"/>
    <w:rsid w:val="3EF7915B"/>
    <w:rsid w:val="3EFBDDE5"/>
    <w:rsid w:val="3EFF2FA6"/>
    <w:rsid w:val="3F77DAE4"/>
    <w:rsid w:val="3FDF16B9"/>
    <w:rsid w:val="3FF77A94"/>
    <w:rsid w:val="3FFF7D9C"/>
    <w:rsid w:val="40EA64D9"/>
    <w:rsid w:val="419C6DB8"/>
    <w:rsid w:val="41BD7978"/>
    <w:rsid w:val="41E45D3A"/>
    <w:rsid w:val="421C76F9"/>
    <w:rsid w:val="42AD32EA"/>
    <w:rsid w:val="42C7552E"/>
    <w:rsid w:val="4331318D"/>
    <w:rsid w:val="436412BA"/>
    <w:rsid w:val="43B01C36"/>
    <w:rsid w:val="44312FD9"/>
    <w:rsid w:val="444C3F4F"/>
    <w:rsid w:val="46466EA9"/>
    <w:rsid w:val="469E394F"/>
    <w:rsid w:val="48E115C3"/>
    <w:rsid w:val="49D56F73"/>
    <w:rsid w:val="49DE7AFF"/>
    <w:rsid w:val="4AAE0B40"/>
    <w:rsid w:val="4AE75EC2"/>
    <w:rsid w:val="4B89767E"/>
    <w:rsid w:val="4D0575C0"/>
    <w:rsid w:val="4D134D2F"/>
    <w:rsid w:val="4D2E66D8"/>
    <w:rsid w:val="4D9C6FE4"/>
    <w:rsid w:val="4E1451C7"/>
    <w:rsid w:val="4FAB60FC"/>
    <w:rsid w:val="4FDBD664"/>
    <w:rsid w:val="4FF408B6"/>
    <w:rsid w:val="4FFF9C84"/>
    <w:rsid w:val="50793B5E"/>
    <w:rsid w:val="50A36650"/>
    <w:rsid w:val="51302371"/>
    <w:rsid w:val="51D7285E"/>
    <w:rsid w:val="51ED4003"/>
    <w:rsid w:val="52AF387B"/>
    <w:rsid w:val="52EF2766"/>
    <w:rsid w:val="53747450"/>
    <w:rsid w:val="537E4A14"/>
    <w:rsid w:val="53C404C7"/>
    <w:rsid w:val="540F29FA"/>
    <w:rsid w:val="546165A1"/>
    <w:rsid w:val="557EC5EB"/>
    <w:rsid w:val="55F7B2AF"/>
    <w:rsid w:val="55FE5A47"/>
    <w:rsid w:val="560C3F1E"/>
    <w:rsid w:val="578F2AB0"/>
    <w:rsid w:val="57B42A15"/>
    <w:rsid w:val="57F9DBFB"/>
    <w:rsid w:val="595E77C5"/>
    <w:rsid w:val="59942446"/>
    <w:rsid w:val="59DB31E9"/>
    <w:rsid w:val="59FE6776"/>
    <w:rsid w:val="5AFB3419"/>
    <w:rsid w:val="5BE35F5B"/>
    <w:rsid w:val="5BFFB62C"/>
    <w:rsid w:val="5CB67C9D"/>
    <w:rsid w:val="5D0E690B"/>
    <w:rsid w:val="5D8A44C8"/>
    <w:rsid w:val="5DC50992"/>
    <w:rsid w:val="5DDFE64A"/>
    <w:rsid w:val="5E4015A2"/>
    <w:rsid w:val="5EE7DFFD"/>
    <w:rsid w:val="5EFB611D"/>
    <w:rsid w:val="5EFDBAD1"/>
    <w:rsid w:val="5F3A1514"/>
    <w:rsid w:val="5FBB4C92"/>
    <w:rsid w:val="5FCF991C"/>
    <w:rsid w:val="5FDB0868"/>
    <w:rsid w:val="5FE7AE17"/>
    <w:rsid w:val="5FFBB478"/>
    <w:rsid w:val="61070D9C"/>
    <w:rsid w:val="62D07BE3"/>
    <w:rsid w:val="63633389"/>
    <w:rsid w:val="63DE53F5"/>
    <w:rsid w:val="644003EC"/>
    <w:rsid w:val="649E27D9"/>
    <w:rsid w:val="64C522FC"/>
    <w:rsid w:val="652E29D8"/>
    <w:rsid w:val="6566D305"/>
    <w:rsid w:val="65C5673B"/>
    <w:rsid w:val="66FE06A5"/>
    <w:rsid w:val="672274AD"/>
    <w:rsid w:val="672FECCC"/>
    <w:rsid w:val="67556ADE"/>
    <w:rsid w:val="675D4674"/>
    <w:rsid w:val="67678DE8"/>
    <w:rsid w:val="67D539CB"/>
    <w:rsid w:val="67DA04E2"/>
    <w:rsid w:val="67EE7A06"/>
    <w:rsid w:val="67FA7622"/>
    <w:rsid w:val="67FFE326"/>
    <w:rsid w:val="68DF3AB3"/>
    <w:rsid w:val="68E97F7A"/>
    <w:rsid w:val="697F5822"/>
    <w:rsid w:val="6AE12CA9"/>
    <w:rsid w:val="6AEC43BD"/>
    <w:rsid w:val="6B191839"/>
    <w:rsid w:val="6B246000"/>
    <w:rsid w:val="6B7FA599"/>
    <w:rsid w:val="6BAD3709"/>
    <w:rsid w:val="6BE4154F"/>
    <w:rsid w:val="6BEEE074"/>
    <w:rsid w:val="6CA78C81"/>
    <w:rsid w:val="6DEBD91C"/>
    <w:rsid w:val="6E08638A"/>
    <w:rsid w:val="6E33BAFB"/>
    <w:rsid w:val="6E6F3891"/>
    <w:rsid w:val="6E7F4EA1"/>
    <w:rsid w:val="6EF550A1"/>
    <w:rsid w:val="6F2F9CE1"/>
    <w:rsid w:val="6F7D08AF"/>
    <w:rsid w:val="6FAFF6DD"/>
    <w:rsid w:val="6FB57F9B"/>
    <w:rsid w:val="6FBB9F4D"/>
    <w:rsid w:val="6FBF0F2B"/>
    <w:rsid w:val="6FBF5FF0"/>
    <w:rsid w:val="6FC36D02"/>
    <w:rsid w:val="6FD15203"/>
    <w:rsid w:val="6FF3F53C"/>
    <w:rsid w:val="6FF66962"/>
    <w:rsid w:val="70B932A0"/>
    <w:rsid w:val="70D27095"/>
    <w:rsid w:val="70E06B02"/>
    <w:rsid w:val="719BFA60"/>
    <w:rsid w:val="722068D2"/>
    <w:rsid w:val="737F5952"/>
    <w:rsid w:val="73FD1E25"/>
    <w:rsid w:val="7493EA04"/>
    <w:rsid w:val="756536CA"/>
    <w:rsid w:val="75E6474D"/>
    <w:rsid w:val="75FB208E"/>
    <w:rsid w:val="76495C4C"/>
    <w:rsid w:val="76B97106"/>
    <w:rsid w:val="76BB5034"/>
    <w:rsid w:val="76DB17E2"/>
    <w:rsid w:val="76F63C9E"/>
    <w:rsid w:val="77410DD9"/>
    <w:rsid w:val="776E2715"/>
    <w:rsid w:val="77ED3EBC"/>
    <w:rsid w:val="77FBE8D0"/>
    <w:rsid w:val="795F8FC0"/>
    <w:rsid w:val="79851BC3"/>
    <w:rsid w:val="799FB19E"/>
    <w:rsid w:val="7A4A0304"/>
    <w:rsid w:val="7AEFF9D5"/>
    <w:rsid w:val="7AFF2F0F"/>
    <w:rsid w:val="7B292A11"/>
    <w:rsid w:val="7B79366A"/>
    <w:rsid w:val="7BAF8EE9"/>
    <w:rsid w:val="7BDB06E9"/>
    <w:rsid w:val="7BDC2EE7"/>
    <w:rsid w:val="7C7EFD82"/>
    <w:rsid w:val="7CA92073"/>
    <w:rsid w:val="7CFEE788"/>
    <w:rsid w:val="7D3A1164"/>
    <w:rsid w:val="7D73B29E"/>
    <w:rsid w:val="7D7FAE60"/>
    <w:rsid w:val="7D9FD476"/>
    <w:rsid w:val="7DA30488"/>
    <w:rsid w:val="7DD1DC55"/>
    <w:rsid w:val="7DE10CA9"/>
    <w:rsid w:val="7DE63CA7"/>
    <w:rsid w:val="7E75669F"/>
    <w:rsid w:val="7E7F6A62"/>
    <w:rsid w:val="7EFF4242"/>
    <w:rsid w:val="7F5E33C8"/>
    <w:rsid w:val="7F5E38DB"/>
    <w:rsid w:val="7F7B043E"/>
    <w:rsid w:val="7F7D3AEB"/>
    <w:rsid w:val="7F7E3AFD"/>
    <w:rsid w:val="7FAC0522"/>
    <w:rsid w:val="7FB65060"/>
    <w:rsid w:val="7FB9A305"/>
    <w:rsid w:val="7FBF46B9"/>
    <w:rsid w:val="7FCCC7C8"/>
    <w:rsid w:val="7FE785E3"/>
    <w:rsid w:val="7FEE9C2E"/>
    <w:rsid w:val="7FEF22EB"/>
    <w:rsid w:val="7FF59158"/>
    <w:rsid w:val="7FFA882B"/>
    <w:rsid w:val="7FFB6C07"/>
    <w:rsid w:val="7FFC0A63"/>
    <w:rsid w:val="7FFC7245"/>
    <w:rsid w:val="7FFEF193"/>
    <w:rsid w:val="7FFF6629"/>
    <w:rsid w:val="936ECC15"/>
    <w:rsid w:val="97FD1538"/>
    <w:rsid w:val="9A7BAAB9"/>
    <w:rsid w:val="9BEAF65A"/>
    <w:rsid w:val="9D4BF02D"/>
    <w:rsid w:val="9D53CBB5"/>
    <w:rsid w:val="9FFF360F"/>
    <w:rsid w:val="A75F8827"/>
    <w:rsid w:val="ACDDF58D"/>
    <w:rsid w:val="AFFF53EE"/>
    <w:rsid w:val="B2FB3B78"/>
    <w:rsid w:val="B4F6D87E"/>
    <w:rsid w:val="B6DDA7A1"/>
    <w:rsid w:val="B77F47B0"/>
    <w:rsid w:val="B77FD673"/>
    <w:rsid w:val="B7A44607"/>
    <w:rsid w:val="B7FD2FBD"/>
    <w:rsid w:val="B7FD380E"/>
    <w:rsid w:val="BBDBD7E6"/>
    <w:rsid w:val="BCE44580"/>
    <w:rsid w:val="BCE72445"/>
    <w:rsid w:val="BDEF216F"/>
    <w:rsid w:val="BDFB3693"/>
    <w:rsid w:val="BE2F66AD"/>
    <w:rsid w:val="BEB15A2D"/>
    <w:rsid w:val="BF7678E9"/>
    <w:rsid w:val="BFAFAA0F"/>
    <w:rsid w:val="BFEEDEE5"/>
    <w:rsid w:val="BFFFCB2D"/>
    <w:rsid w:val="C5DBADDF"/>
    <w:rsid w:val="CBCBD90F"/>
    <w:rsid w:val="CDFD530A"/>
    <w:rsid w:val="CF270212"/>
    <w:rsid w:val="CFFF7D00"/>
    <w:rsid w:val="D4FF121D"/>
    <w:rsid w:val="D63B806F"/>
    <w:rsid w:val="D6CFF58B"/>
    <w:rsid w:val="D73F0283"/>
    <w:rsid w:val="D78E8146"/>
    <w:rsid w:val="D7BFA1E8"/>
    <w:rsid w:val="D7F15CF0"/>
    <w:rsid w:val="DB765B01"/>
    <w:rsid w:val="DB7E0370"/>
    <w:rsid w:val="DCB07B46"/>
    <w:rsid w:val="DCC5AAE3"/>
    <w:rsid w:val="DCEF6350"/>
    <w:rsid w:val="DD5FC928"/>
    <w:rsid w:val="DDE7AE04"/>
    <w:rsid w:val="DDFFBE94"/>
    <w:rsid w:val="DEB604B5"/>
    <w:rsid w:val="DEFE6C45"/>
    <w:rsid w:val="DF5EF00F"/>
    <w:rsid w:val="DF7F6853"/>
    <w:rsid w:val="DF7F7515"/>
    <w:rsid w:val="DFA762B0"/>
    <w:rsid w:val="DFBFB027"/>
    <w:rsid w:val="DFC554BC"/>
    <w:rsid w:val="DFEBA6F6"/>
    <w:rsid w:val="DFF7E287"/>
    <w:rsid w:val="E2DC7022"/>
    <w:rsid w:val="E6F7484A"/>
    <w:rsid w:val="E6FD1B05"/>
    <w:rsid w:val="EAAF82A4"/>
    <w:rsid w:val="EC8EA9BA"/>
    <w:rsid w:val="ECEF7555"/>
    <w:rsid w:val="ECF728C5"/>
    <w:rsid w:val="ECF742C3"/>
    <w:rsid w:val="ECFEC4F2"/>
    <w:rsid w:val="ED7BB43F"/>
    <w:rsid w:val="EDBF11C8"/>
    <w:rsid w:val="EDD52285"/>
    <w:rsid w:val="EF5DC84D"/>
    <w:rsid w:val="EF7B1C10"/>
    <w:rsid w:val="EF7DD1AE"/>
    <w:rsid w:val="EFB5373F"/>
    <w:rsid w:val="EFB70C2A"/>
    <w:rsid w:val="EFF978AE"/>
    <w:rsid w:val="F2DE2A08"/>
    <w:rsid w:val="F2F94695"/>
    <w:rsid w:val="F3BF1718"/>
    <w:rsid w:val="F3C54159"/>
    <w:rsid w:val="F3EF634B"/>
    <w:rsid w:val="F3EF930A"/>
    <w:rsid w:val="F3FAD502"/>
    <w:rsid w:val="F6CF4440"/>
    <w:rsid w:val="F736F0F2"/>
    <w:rsid w:val="F7D62C9A"/>
    <w:rsid w:val="F7F5B647"/>
    <w:rsid w:val="F7FFA0B4"/>
    <w:rsid w:val="F8FD72E3"/>
    <w:rsid w:val="F93A6E61"/>
    <w:rsid w:val="F9DE00A0"/>
    <w:rsid w:val="FA8E4DBC"/>
    <w:rsid w:val="FAD637DE"/>
    <w:rsid w:val="FAEF77DD"/>
    <w:rsid w:val="FAFEA330"/>
    <w:rsid w:val="FBBDD06A"/>
    <w:rsid w:val="FBCF40ED"/>
    <w:rsid w:val="FBFEBB89"/>
    <w:rsid w:val="FC738784"/>
    <w:rsid w:val="FCBF9BD6"/>
    <w:rsid w:val="FCFB4734"/>
    <w:rsid w:val="FD3E6EF7"/>
    <w:rsid w:val="FD9BAC11"/>
    <w:rsid w:val="FDAFD846"/>
    <w:rsid w:val="FDF30EA3"/>
    <w:rsid w:val="FDFFA0F2"/>
    <w:rsid w:val="FE9FF73D"/>
    <w:rsid w:val="FEBD1389"/>
    <w:rsid w:val="FEE5EFFA"/>
    <w:rsid w:val="FEFF3BF0"/>
    <w:rsid w:val="FEFF7B34"/>
    <w:rsid w:val="FF27E291"/>
    <w:rsid w:val="FF2F0232"/>
    <w:rsid w:val="FF3BFE85"/>
    <w:rsid w:val="FF5F51DA"/>
    <w:rsid w:val="FF65080C"/>
    <w:rsid w:val="FF7F4B74"/>
    <w:rsid w:val="FF9F6079"/>
    <w:rsid w:val="FF9FFF3F"/>
    <w:rsid w:val="FFABEBC9"/>
    <w:rsid w:val="FFB7220D"/>
    <w:rsid w:val="FFB76854"/>
    <w:rsid w:val="FFBFC11C"/>
    <w:rsid w:val="FFD4D67C"/>
    <w:rsid w:val="FFECE06D"/>
    <w:rsid w:val="FFFB4677"/>
    <w:rsid w:val="FFFD7D5E"/>
    <w:rsid w:val="FFFDEA4B"/>
    <w:rsid w:val="FFFF1F88"/>
    <w:rsid w:val="FFFF8C48"/>
    <w:rsid w:val="FFFF9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next w:val="4"/>
    <w:qFormat/>
    <w:uiPriority w:val="0"/>
    <w:pPr>
      <w:ind w:firstLine="609" w:firstLineChars="200"/>
    </w:pPr>
    <w:rPr>
      <w:rFonts w:eastAsia="仿宋_GB2312"/>
      <w:sz w:val="32"/>
    </w:rPr>
  </w:style>
  <w:style w:type="paragraph" w:styleId="4">
    <w:name w:val="Normal Indent"/>
    <w:basedOn w:val="1"/>
    <w:qFormat/>
    <w:uiPriority w:val="0"/>
    <w:pPr>
      <w:ind w:firstLine="420" w:firstLineChars="200"/>
    </w:pPr>
    <w:rPr>
      <w:rFonts w:eastAsia="仿宋"/>
    </w:rPr>
  </w:style>
  <w:style w:type="paragraph" w:styleId="7">
    <w:name w:val="Body Text"/>
    <w:basedOn w:val="1"/>
    <w:qFormat/>
    <w:uiPriority w:val="99"/>
    <w:pPr>
      <w:spacing w:beforeLines="30"/>
    </w:pPr>
    <w:rPr>
      <w:rFonts w:ascii="仿宋_GB2312" w:eastAsia="仿宋_GB2312"/>
      <w:kern w:val="0"/>
      <w:sz w:val="30"/>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customStyle="1" w:styleId="15">
    <w:name w:val="标题 1 Char"/>
    <w:basedOn w:val="13"/>
    <w:link w:val="5"/>
    <w:qFormat/>
    <w:uiPriority w:val="9"/>
    <w:rPr>
      <w:b/>
      <w:bCs/>
      <w:kern w:val="44"/>
      <w:sz w:val="44"/>
      <w:szCs w:val="44"/>
    </w:rPr>
  </w:style>
  <w:style w:type="paragraph" w:styleId="16">
    <w:name w:val="List Paragraph"/>
    <w:basedOn w:val="1"/>
    <w:qFormat/>
    <w:uiPriority w:val="34"/>
    <w:pPr>
      <w:ind w:firstLine="420" w:firstLineChars="200"/>
    </w:pPr>
  </w:style>
  <w:style w:type="character" w:customStyle="1" w:styleId="17">
    <w:name w:val="标题 2 Char"/>
    <w:basedOn w:val="13"/>
    <w:link w:val="6"/>
    <w:qFormat/>
    <w:uiPriority w:val="9"/>
    <w:rPr>
      <w:rFonts w:asciiTheme="majorHAnsi" w:hAnsiTheme="majorHAnsi" w:eastAsiaTheme="majorEastAsia" w:cstheme="majorBidi"/>
      <w:b/>
      <w:bCs/>
      <w:sz w:val="32"/>
      <w:szCs w:val="32"/>
    </w:rPr>
  </w:style>
  <w:style w:type="paragraph" w:customStyle="1" w:styleId="18">
    <w:name w:val="正文2"/>
    <w:basedOn w:val="1"/>
    <w:next w:val="1"/>
    <w:qFormat/>
    <w:uiPriority w:val="99"/>
  </w:style>
  <w:style w:type="paragraph" w:customStyle="1" w:styleId="19">
    <w:name w:val="公文主体"/>
    <w:basedOn w:val="1"/>
    <w:qFormat/>
    <w:uiPriority w:val="0"/>
    <w:pPr>
      <w:spacing w:line="580" w:lineRule="exact"/>
      <w:ind w:firstLine="200" w:firstLineChars="200"/>
    </w:pPr>
    <w:rPr>
      <w:rFonts w:eastAsia="仿宋_GB2312"/>
      <w:sz w:val="32"/>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Heading 1 Char"/>
    <w:basedOn w:val="13"/>
    <w:link w:val="5"/>
    <w:qFormat/>
    <w:locked/>
    <w:uiPriority w:val="99"/>
    <w:rPr>
      <w:rFonts w:ascii="Times New Roman" w:hAnsi="Times New Roman" w:cs="Times New Roman"/>
      <w:b/>
      <w:bCs/>
      <w:kern w:val="44"/>
      <w:sz w:val="44"/>
      <w:szCs w:val="44"/>
    </w:rPr>
  </w:style>
  <w:style w:type="paragraph" w:customStyle="1" w:styleId="22">
    <w:name w:val="17“1.”四级标题"/>
    <w:basedOn w:val="23"/>
    <w:qFormat/>
    <w:uiPriority w:val="0"/>
    <w:pPr>
      <w:numPr>
        <w:ilvl w:val="3"/>
        <w:numId w:val="1"/>
      </w:numPr>
      <w:ind w:left="2226" w:firstLine="803"/>
    </w:pPr>
  </w:style>
  <w:style w:type="paragraph" w:customStyle="1" w:styleId="23">
    <w:name w:val="02、首行缩进2字符正文"/>
    <w:basedOn w:val="1"/>
    <w:qFormat/>
    <w:uiPriority w:val="0"/>
    <w:pPr>
      <w:tabs>
        <w:tab w:val="left" w:pos="0"/>
      </w:tabs>
      <w:wordWrap w:val="0"/>
      <w:topLinePunct/>
      <w:adjustRightInd w:val="0"/>
      <w:snapToGrid w:val="0"/>
      <w:spacing w:line="440" w:lineRule="exact"/>
      <w:ind w:firstLine="480" w:firstLineChars="200"/>
      <w:jc w:val="left"/>
    </w:pPr>
    <w:rPr>
      <w:rFonts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变动图</a:t>
            </a:r>
          </a:p>
        </c:rich>
      </c:tx>
      <c:layout>
        <c:manualLayout>
          <c:xMode val="edge"/>
          <c:yMode val="edge"/>
          <c:x val="0.441127671474759"/>
          <c:y val="0.0246093368599762"/>
        </c:manualLayout>
      </c:layout>
      <c:overlay val="0"/>
      <c:spPr>
        <a:noFill/>
        <a:ln>
          <a:noFill/>
        </a:ln>
        <a:effectLst/>
      </c:spPr>
    </c:title>
    <c:autoTitleDeleted val="0"/>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2020</c:v>
                </c:pt>
              </c:numCache>
            </c:numRef>
          </c:cat>
          <c:val>
            <c:numRef>
              <c:f>Sheet1!$B$2:$B$3</c:f>
              <c:numCache>
                <c:formatCode>General</c:formatCode>
                <c:ptCount val="2"/>
                <c:pt idx="0">
                  <c:v>167.3</c:v>
                </c:pt>
                <c:pt idx="1">
                  <c:v>867.67</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2020</c:v>
                </c:pt>
              </c:numCache>
            </c:num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2020</c:v>
                </c:pt>
              </c:numCache>
            </c:numRef>
          </c:cat>
          <c:val>
            <c:numRef>
              <c:f>Sheet1!$D$2:$D$3</c:f>
              <c:numCache>
                <c:formatCode>General</c:formatCode>
                <c:ptCount val="2"/>
              </c:numCache>
            </c:numRef>
          </c:val>
        </c:ser>
        <c:dLbls>
          <c:showLegendKey val="0"/>
          <c:showVal val="1"/>
          <c:showCatName val="0"/>
          <c:showSerName val="0"/>
          <c:showPercent val="0"/>
          <c:showBubbleSize val="0"/>
        </c:dLbls>
        <c:gapWidth val="219"/>
        <c:overlap val="-27"/>
        <c:axId val="355169831"/>
        <c:axId val="23430377"/>
      </c:barChart>
      <c:catAx>
        <c:axId val="355169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30377"/>
        <c:crosses val="autoZero"/>
        <c:auto val="1"/>
        <c:lblAlgn val="ctr"/>
        <c:lblOffset val="100"/>
        <c:noMultiLvlLbl val="0"/>
      </c:catAx>
      <c:valAx>
        <c:axId val="234303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5169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变动图</a:t>
            </a:r>
          </a:p>
        </c:rich>
      </c:tx>
      <c:layout/>
      <c:overlay val="0"/>
      <c:spPr>
        <a:noFill/>
        <a:ln>
          <a:noFill/>
        </a:ln>
        <a:effectLst/>
      </c:spPr>
    </c:title>
    <c:autoTitleDeleted val="0"/>
    <c:plotArea>
      <c:layout>
        <c:manualLayout>
          <c:layoutTarget val="inner"/>
          <c:xMode val="edge"/>
          <c:yMode val="edge"/>
          <c:x val="0.308977682747561"/>
          <c:y val="0.185325602140946"/>
          <c:w val="0.387144193505279"/>
          <c:h val="0.64607493309545"/>
        </c:manualLayout>
      </c:layout>
      <c:pieChart>
        <c:varyColors val="1"/>
        <c:ser>
          <c:idx val="0"/>
          <c:order val="0"/>
          <c:tx>
            <c:strRef>
              <c:f>Sheet1!$B$1</c:f>
              <c:strCache>
                <c:ptCount val="1"/>
                <c:pt idx="0">
                  <c:v>本年收入</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Sheet1!$A$2:$A$8</c:f>
              <c:strCache>
                <c:ptCount val="7"/>
                <c:pt idx="0">
                  <c:v>一般公共预算财政拨款收入</c:v>
                </c:pt>
              </c:strCache>
            </c:strRef>
          </c:cat>
          <c:val>
            <c:numRef>
              <c:f>Sheet1!$B$2:$B$8</c:f>
              <c:numCache>
                <c:formatCode>General</c:formatCode>
                <c:ptCount val="7"/>
                <c:pt idx="0">
                  <c:v>867.43</c:v>
                </c:pt>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变动图</a:t>
            </a:r>
          </a:p>
        </c:rich>
      </c:tx>
      <c:layout/>
      <c:overlay val="0"/>
      <c:spPr>
        <a:noFill/>
        <a:ln>
          <a:noFill/>
        </a:ln>
        <a:effectLst/>
      </c:spPr>
    </c:title>
    <c:autoTitleDeleted val="0"/>
    <c:plotArea>
      <c:layout>
        <c:manualLayout>
          <c:layoutTarget val="inner"/>
          <c:xMode val="edge"/>
          <c:yMode val="edge"/>
          <c:x val="0.308977682747561"/>
          <c:y val="0.185325602140946"/>
          <c:w val="0.387144193505279"/>
          <c:h val="0.64607493309545"/>
        </c:manualLayout>
      </c:layout>
      <c:pieChart>
        <c:varyColors val="1"/>
        <c:ser>
          <c:idx val="0"/>
          <c:order val="0"/>
          <c:tx>
            <c:strRef>
              <c:f>Sheet1!$B$1</c:f>
              <c:strCache>
                <c:ptCount val="1"/>
                <c:pt idx="0">
                  <c:v>支出合计</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385.58</c:v>
                </c:pt>
                <c:pt idx="1">
                  <c:v>481.85</c:v>
                </c:pt>
              </c:numCache>
            </c:numRef>
          </c:val>
        </c:ser>
        <c:ser>
          <c:idx val="1"/>
          <c:order val="1"/>
          <c:tx>
            <c:strRef>
              <c:f>Sheet1!$C$1</c:f>
              <c:strCache>
                <c:ptCount val="1"/>
                <c:pt idx="0">
                  <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基本支出</c:v>
                </c:pt>
                <c:pt idx="1">
                  <c:v>项目支出</c:v>
                </c:pt>
              </c:strCache>
            </c:strRef>
          </c:cat>
          <c:val>
            <c:numRef>
              <c:f>Sheet1!$C$2:$C$5</c:f>
              <c:numCache>
                <c:formatCode>General</c:formatCode>
                <c:ptCount val="4"/>
              </c:numCache>
            </c:numRef>
          </c:val>
        </c:ser>
        <c:ser>
          <c:idx val="2"/>
          <c:order val="2"/>
          <c:tx>
            <c:strRef>
              <c:f>Sheet1!$D$1</c:f>
              <c:strCache>
                <c:ptCount val="1"/>
                <c:pt idx="0">
                  <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基本支出</c:v>
                </c:pt>
                <c:pt idx="1">
                  <c:v>项目支出</c:v>
                </c:pt>
              </c:strCache>
            </c:strRef>
          </c:cat>
          <c:val>
            <c:numRef>
              <c:f>Sheet1!$D$2:$D$5</c:f>
              <c:numCache>
                <c:formatCode>General</c:formatCode>
                <c:ptCount val="4"/>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变动图</a:t>
            </a:r>
          </a:p>
        </c:rich>
      </c:tx>
      <c:layout>
        <c:manualLayout>
          <c:xMode val="edge"/>
          <c:yMode val="edge"/>
          <c:x val="0.410527916272801"/>
          <c:y val="0.0381839974934604"/>
        </c:manualLayout>
      </c:layout>
      <c:overlay val="0"/>
      <c:spPr>
        <a:noFill/>
        <a:ln>
          <a:noFill/>
        </a:ln>
        <a:effectLst/>
      </c:spPr>
    </c:title>
    <c:autoTitleDeleted val="0"/>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2020</c:v>
                </c:pt>
              </c:numCache>
            </c:numRef>
          </c:cat>
          <c:val>
            <c:numRef>
              <c:f>Sheet1!$B$2:$B$3</c:f>
              <c:numCache>
                <c:formatCode>General</c:formatCode>
                <c:ptCount val="2"/>
                <c:pt idx="0">
                  <c:v>167.18</c:v>
                </c:pt>
                <c:pt idx="1">
                  <c:v>867.43</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2020</c:v>
                </c:pt>
              </c:numCache>
            </c:num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2020</c:v>
                </c:pt>
              </c:numCache>
            </c:numRef>
          </c:cat>
          <c:val>
            <c:numRef>
              <c:f>Sheet1!$D$2:$D$3</c:f>
              <c:numCache>
                <c:formatCode>General</c:formatCode>
                <c:ptCount val="2"/>
              </c:numCache>
            </c:numRef>
          </c:val>
        </c:ser>
        <c:dLbls>
          <c:showLegendKey val="0"/>
          <c:showVal val="1"/>
          <c:showCatName val="0"/>
          <c:showSerName val="0"/>
          <c:showPercent val="0"/>
          <c:showBubbleSize val="0"/>
        </c:dLbls>
        <c:gapWidth val="219"/>
        <c:overlap val="-27"/>
        <c:axId val="355169831"/>
        <c:axId val="23430377"/>
      </c:barChart>
      <c:catAx>
        <c:axId val="355169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30377"/>
        <c:crosses val="autoZero"/>
        <c:auto val="1"/>
        <c:lblAlgn val="ctr"/>
        <c:lblOffset val="100"/>
        <c:noMultiLvlLbl val="0"/>
      </c:catAx>
      <c:valAx>
        <c:axId val="234303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5169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变动图</a:t>
            </a:r>
          </a:p>
        </c:rich>
      </c:tx>
      <c:layout>
        <c:manualLayout>
          <c:xMode val="edge"/>
          <c:yMode val="edge"/>
          <c:x val="0.451327589875412"/>
          <c:y val="0.0427088843712884"/>
        </c:manualLayout>
      </c:layout>
      <c:overlay val="0"/>
      <c:spPr>
        <a:noFill/>
        <a:ln>
          <a:noFill/>
        </a:ln>
        <a:effectLst/>
      </c:spPr>
    </c:title>
    <c:autoTitleDeleted val="0"/>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2020</c:v>
                </c:pt>
              </c:numCache>
            </c:numRef>
          </c:cat>
          <c:val>
            <c:numRef>
              <c:f>Sheet1!$B$2:$B$3</c:f>
              <c:numCache>
                <c:formatCode>General</c:formatCode>
                <c:ptCount val="2"/>
                <c:pt idx="0">
                  <c:v>167.05</c:v>
                </c:pt>
                <c:pt idx="1">
                  <c:v>867.43</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2020</c:v>
                </c:pt>
              </c:numCache>
            </c:num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2019</c:v>
                </c:pt>
                <c:pt idx="1">
                  <c:v>2020</c:v>
                </c:pt>
              </c:numCache>
            </c:numRef>
          </c:cat>
          <c:val>
            <c:numRef>
              <c:f>Sheet1!$D$2:$D$3</c:f>
              <c:numCache>
                <c:formatCode>General</c:formatCode>
                <c:ptCount val="2"/>
              </c:numCache>
            </c:numRef>
          </c:val>
        </c:ser>
        <c:dLbls>
          <c:showLegendKey val="0"/>
          <c:showVal val="1"/>
          <c:showCatName val="0"/>
          <c:showSerName val="0"/>
          <c:showPercent val="0"/>
          <c:showBubbleSize val="0"/>
        </c:dLbls>
        <c:gapWidth val="219"/>
        <c:overlap val="-27"/>
        <c:axId val="355169831"/>
        <c:axId val="23430377"/>
      </c:barChart>
      <c:catAx>
        <c:axId val="355169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30377"/>
        <c:crosses val="autoZero"/>
        <c:auto val="1"/>
        <c:lblAlgn val="ctr"/>
        <c:lblOffset val="100"/>
        <c:noMultiLvlLbl val="0"/>
      </c:catAx>
      <c:valAx>
        <c:axId val="234303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5169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变动图</a:t>
            </a:r>
          </a:p>
        </c:rich>
      </c:tx>
      <c:layout/>
      <c:overlay val="0"/>
      <c:spPr>
        <a:noFill/>
        <a:ln>
          <a:noFill/>
        </a:ln>
        <a:effectLst/>
      </c:spPr>
    </c:title>
    <c:autoTitleDeleted val="0"/>
    <c:plotArea>
      <c:layout>
        <c:manualLayout>
          <c:layoutTarget val="inner"/>
          <c:xMode val="edge"/>
          <c:yMode val="edge"/>
          <c:x val="0.308977682747561"/>
          <c:y val="0.185325602140946"/>
          <c:w val="0.387144193505279"/>
          <c:h val="0.64607493309545"/>
        </c:manualLayout>
      </c:layout>
      <c:pieChart>
        <c:varyColors val="1"/>
        <c:ser>
          <c:idx val="0"/>
          <c:order val="0"/>
          <c:tx>
            <c:strRef>
              <c:f>Sheet1!$B$1</c:f>
              <c:strCache>
                <c:ptCount val="1"/>
                <c:pt idx="0">
                  <c:v>列1</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Sheet1!$A$2:$A$8</c:f>
              <c:strCache>
                <c:ptCount val="7"/>
                <c:pt idx="0">
                  <c:v>教育支出</c:v>
                </c:pt>
                <c:pt idx="1">
                  <c:v>社会保障和就业支出</c:v>
                </c:pt>
                <c:pt idx="2">
                  <c:v>卫生健康支出</c:v>
                </c:pt>
                <c:pt idx="3">
                  <c:v>住房保障支出</c:v>
                </c:pt>
                <c:pt idx="4">
                  <c:v>灾害防治及应急管理支出</c:v>
                </c:pt>
              </c:strCache>
            </c:strRef>
          </c:cat>
          <c:val>
            <c:numRef>
              <c:f>Sheet1!$B$2:$B$8</c:f>
              <c:numCache>
                <c:formatCode>General</c:formatCode>
                <c:ptCount val="7"/>
                <c:pt idx="0">
                  <c:v>3</c:v>
                </c:pt>
                <c:pt idx="1">
                  <c:v>25.82</c:v>
                </c:pt>
                <c:pt idx="2">
                  <c:v>16.78</c:v>
                </c:pt>
                <c:pt idx="3">
                  <c:v>34.43</c:v>
                </c:pt>
                <c:pt idx="4">
                  <c:v>787.4</c:v>
                </c:pt>
              </c:numCache>
            </c:numRef>
          </c:val>
        </c:ser>
        <c:ser>
          <c:idx val="1"/>
          <c:order val="1"/>
          <c:tx>
            <c:strRef>
              <c:f>Sheet1!#REF!</c:f>
              <c:strCache>
                <c:ptCount val="1"/>
                <c:pt idx="0">
                  <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Sheet1!$A$2:$A$8</c:f>
              <c:strCache>
                <c:ptCount val="7"/>
                <c:pt idx="0">
                  <c:v>教育支出</c:v>
                </c:pt>
                <c:pt idx="1">
                  <c:v>社会保障和就业支出</c:v>
                </c:pt>
                <c:pt idx="2">
                  <c:v>卫生健康支出</c:v>
                </c:pt>
                <c:pt idx="3">
                  <c:v>住房保障支出</c:v>
                </c:pt>
                <c:pt idx="4">
                  <c:v>灾害防治及应急管理支出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Sheet1!$A$2:$A$8</c:f>
              <c:strCache>
                <c:ptCount val="7"/>
                <c:pt idx="0">
                  <c:v>教育支出</c:v>
                </c:pt>
                <c:pt idx="1">
                  <c:v>社会保障和就业支出</c:v>
                </c:pt>
                <c:pt idx="2">
                  <c:v>卫生健康支出</c:v>
                </c:pt>
                <c:pt idx="3">
                  <c:v>住房保障支出</c:v>
                </c:pt>
                <c:pt idx="4">
                  <c:v>灾害防治及应急管理支出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b"/>
      <c:layout>
        <c:manualLayout>
          <c:xMode val="edge"/>
          <c:yMode val="edge"/>
          <c:x val="0.126708185961859"/>
          <c:y val="0.81363484186064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变动图</a:t>
            </a:r>
          </a:p>
        </c:rich>
      </c:tx>
      <c:layout/>
      <c:overlay val="0"/>
      <c:spPr>
        <a:noFill/>
        <a:ln>
          <a:noFill/>
        </a:ln>
        <a:effectLst/>
      </c:spPr>
    </c:title>
    <c:autoTitleDeleted val="0"/>
    <c:plotArea>
      <c:layout>
        <c:manualLayout>
          <c:layoutTarget val="inner"/>
          <c:xMode val="edge"/>
          <c:yMode val="edge"/>
          <c:x val="0.308977682747561"/>
          <c:y val="0.185325602140946"/>
          <c:w val="0.387144193505279"/>
          <c:h val="0.64607493309545"/>
        </c:manualLayout>
      </c:layout>
      <c:pieChart>
        <c:varyColors val="1"/>
        <c:ser>
          <c:idx val="0"/>
          <c:order val="0"/>
          <c:tx>
            <c:strRef>
              <c:f>Sheet1!$B$1</c:f>
              <c:strCache>
                <c:ptCount val="1"/>
                <c:pt idx="0">
                  <c:v>三公经费</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因公出国（境）经费</c:v>
                </c:pt>
                <c:pt idx="1">
                  <c:v>公务车用车维护费</c:v>
                </c:pt>
                <c:pt idx="2">
                  <c:v>公务接待费</c:v>
                </c:pt>
              </c:strCache>
            </c:strRef>
          </c:cat>
          <c:val>
            <c:numRef>
              <c:f>Sheet1!$B$2:$B$5</c:f>
              <c:numCache>
                <c:formatCode>General</c:formatCode>
                <c:ptCount val="4"/>
                <c:pt idx="0">
                  <c:v>0</c:v>
                </c:pt>
                <c:pt idx="1">
                  <c:v>4.88</c:v>
                </c:pt>
                <c:pt idx="2">
                  <c:v>0.041</c:v>
                </c:pt>
              </c:numCache>
            </c:numRef>
          </c:val>
        </c:ser>
        <c:ser>
          <c:idx val="1"/>
          <c:order val="1"/>
          <c:tx>
            <c:strRef>
              <c:f>Sheet1!$C$1</c:f>
              <c:strCache>
                <c:ptCount val="1"/>
                <c:pt idx="0">
                  <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因公出国（境）经费</c:v>
                </c:pt>
                <c:pt idx="1">
                  <c:v>公务车用车维护费</c:v>
                </c:pt>
                <c:pt idx="2">
                  <c:v>公务接待费</c:v>
                </c:pt>
              </c:strCache>
            </c:strRef>
          </c:cat>
          <c:val>
            <c:numRef>
              <c:f>Sheet1!$C$2:$C$5</c:f>
              <c:numCache>
                <c:formatCode>General</c:formatCode>
                <c:ptCount val="4"/>
              </c:numCache>
            </c:numRef>
          </c:val>
        </c:ser>
        <c:ser>
          <c:idx val="2"/>
          <c:order val="2"/>
          <c:tx>
            <c:strRef>
              <c:f>Sheet1!$D$1</c:f>
              <c:strCache>
                <c:ptCount val="1"/>
                <c:pt idx="0">
                  <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因公出国（境）经费</c:v>
                </c:pt>
                <c:pt idx="1">
                  <c:v>公务车用车维护费</c:v>
                </c:pt>
                <c:pt idx="2">
                  <c:v>公务接待费</c:v>
                </c:pt>
              </c:strCache>
            </c:strRef>
          </c:cat>
          <c:val>
            <c:numRef>
              <c:f>Sheet1!$D$2:$D$5</c:f>
              <c:numCache>
                <c:formatCode>General</c:formatCode>
                <c:ptCount val="4"/>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12398</Words>
  <Characters>13114</Characters>
  <Lines>0</Lines>
  <Paragraphs>0</Paragraphs>
  <TotalTime>2</TotalTime>
  <ScaleCrop>false</ScaleCrop>
  <LinksUpToDate>false</LinksUpToDate>
  <CharactersWithSpaces>13165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2021-08-20T07:41:00Z</dcterms:created>
  <dc:creator>admin</dc:creator>
  <cp:lastModifiedBy>Victoria</cp:lastModifiedBy>
  <cp:lastPrinted>2021-09-09T18:52:00Z</cp:lastPrinted>
  <dcterms:modified xsi:type="dcterms:W3CDTF">2022-11-14T07:31:27Z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E6270F1E4BCA4DBBA1C375526EC2E48F</vt:lpwstr>
  </property>
</Properties>
</file>