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3" w:type="dxa"/>
        <w:tblLayout w:type="fixed"/>
        <w:tblLook w:val="0000" w:firstRow="0" w:lastRow="0" w:firstColumn="0" w:lastColumn="0" w:noHBand="0" w:noVBand="0"/>
      </w:tblPr>
      <w:tblGrid>
        <w:gridCol w:w="1149"/>
        <w:gridCol w:w="871"/>
        <w:gridCol w:w="299"/>
        <w:gridCol w:w="1134"/>
        <w:gridCol w:w="387"/>
        <w:gridCol w:w="1987"/>
        <w:gridCol w:w="633"/>
        <w:gridCol w:w="1919"/>
        <w:gridCol w:w="441"/>
        <w:gridCol w:w="2040"/>
        <w:gridCol w:w="1948"/>
        <w:gridCol w:w="2410"/>
      </w:tblGrid>
      <w:tr w:rsidR="00536230" w:rsidTr="00E568CF">
        <w:trPr>
          <w:trHeight w:val="540"/>
        </w:trPr>
        <w:tc>
          <w:tcPr>
            <w:tcW w:w="1149" w:type="dxa"/>
            <w:noWrap/>
            <w:vAlign w:val="center"/>
          </w:tcPr>
          <w:p w:rsidR="00536230" w:rsidRDefault="00536230" w:rsidP="00E568CF">
            <w:pPr>
              <w:pStyle w:val="a3"/>
              <w:ind w:firstLineChars="0" w:firstLine="0"/>
            </w:pPr>
            <w:r>
              <w:rPr>
                <w:rFonts w:hint="eastAsia"/>
              </w:rPr>
              <w:t>附表</w:t>
            </w:r>
            <w:r>
              <w:t>1</w:t>
            </w:r>
          </w:p>
        </w:tc>
        <w:tc>
          <w:tcPr>
            <w:tcW w:w="871" w:type="dxa"/>
            <w:noWrap/>
            <w:vAlign w:val="center"/>
          </w:tcPr>
          <w:p w:rsidR="00536230" w:rsidRDefault="00536230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noWrap/>
            <w:vAlign w:val="center"/>
          </w:tcPr>
          <w:p w:rsidR="00536230" w:rsidRDefault="00536230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noWrap/>
            <w:vAlign w:val="center"/>
          </w:tcPr>
          <w:p w:rsidR="00536230" w:rsidRDefault="00536230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360" w:type="dxa"/>
            <w:gridSpan w:val="2"/>
            <w:noWrap/>
            <w:vAlign w:val="center"/>
          </w:tcPr>
          <w:p w:rsidR="00536230" w:rsidRDefault="00536230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noWrap/>
            <w:vAlign w:val="center"/>
          </w:tcPr>
          <w:p w:rsidR="00536230" w:rsidRDefault="00536230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4358" w:type="dxa"/>
            <w:gridSpan w:val="2"/>
            <w:noWrap/>
            <w:vAlign w:val="center"/>
          </w:tcPr>
          <w:p w:rsidR="00536230" w:rsidRDefault="00536230" w:rsidP="00E568CF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536230" w:rsidTr="00E568CF">
        <w:trPr>
          <w:trHeight w:val="930"/>
        </w:trPr>
        <w:tc>
          <w:tcPr>
            <w:tcW w:w="15218" w:type="dxa"/>
            <w:gridSpan w:val="12"/>
            <w:vAlign w:val="bottom"/>
          </w:tcPr>
          <w:p w:rsidR="00536230" w:rsidRDefault="00536230" w:rsidP="00E568CF">
            <w:pPr>
              <w:pStyle w:val="a4"/>
            </w:pPr>
            <w:bookmarkStart w:id="0" w:name="_GoBack"/>
            <w:r>
              <w:rPr>
                <w:rFonts w:hint="eastAsia"/>
              </w:rPr>
              <w:t>安全生产预防及应急专项绩效目标自评表（</w:t>
            </w:r>
            <w:r>
              <w:t>2018</w:t>
            </w:r>
            <w:r>
              <w:rPr>
                <w:rFonts w:hint="eastAsia"/>
              </w:rPr>
              <w:t>年度）</w:t>
            </w:r>
            <w:bookmarkEnd w:id="0"/>
          </w:p>
        </w:tc>
      </w:tr>
      <w:tr w:rsidR="00536230" w:rsidTr="00E568CF">
        <w:trPr>
          <w:trHeight w:val="458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专项（项目）名称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6230" w:rsidRDefault="00536230" w:rsidP="00E568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安全生产预防及应急专项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36230" w:rsidRDefault="00536230" w:rsidP="00E568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负责人及电话</w:t>
            </w:r>
          </w:p>
        </w:tc>
        <w:tc>
          <w:tcPr>
            <w:tcW w:w="68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</w:rPr>
              <w:t>侯光，02886630010</w:t>
            </w:r>
          </w:p>
        </w:tc>
      </w:tr>
      <w:tr w:rsidR="00536230" w:rsidTr="00E568CF">
        <w:trPr>
          <w:trHeight w:val="40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中央主管部门</w:t>
            </w:r>
          </w:p>
        </w:tc>
        <w:tc>
          <w:tcPr>
            <w:tcW w:w="131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应急管理部</w:t>
            </w:r>
          </w:p>
        </w:tc>
      </w:tr>
      <w:tr w:rsidR="00536230" w:rsidTr="00E568CF">
        <w:trPr>
          <w:trHeight w:val="58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地方主管部门</w:t>
            </w:r>
          </w:p>
        </w:tc>
        <w:tc>
          <w:tcPr>
            <w:tcW w:w="3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四川省应急管理厅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6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四川省应急管理厅、川南煤业有限责任公司鲁班山北矿、杉木树煤矿、攀钢集团矿业有限公司选矿厂</w:t>
            </w:r>
          </w:p>
        </w:tc>
      </w:tr>
      <w:tr w:rsidR="00536230" w:rsidTr="00E568CF">
        <w:trPr>
          <w:trHeight w:hRule="exact" w:val="284"/>
        </w:trPr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项目资金（万元）</w:t>
            </w: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全年预算数（A）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全年执行数（B）</w:t>
            </w:r>
          </w:p>
        </w:tc>
        <w:tc>
          <w:tcPr>
            <w:tcW w:w="6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执行率</w:t>
            </w:r>
          </w:p>
        </w:tc>
      </w:tr>
      <w:tr w:rsidR="00536230" w:rsidTr="00E568CF">
        <w:trPr>
          <w:trHeight w:hRule="exact" w:val="284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年度资金总额：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37608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2675.1</w:t>
            </w:r>
          </w:p>
        </w:tc>
        <w:tc>
          <w:tcPr>
            <w:tcW w:w="6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7.11%</w:t>
            </w:r>
          </w:p>
        </w:tc>
      </w:tr>
      <w:tr w:rsidR="00536230" w:rsidTr="00E568CF">
        <w:trPr>
          <w:trHeight w:hRule="exact" w:val="284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其中：中央补助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7149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</w:t>
            </w:r>
          </w:p>
        </w:tc>
        <w:tc>
          <w:tcPr>
            <w:tcW w:w="6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0%</w:t>
            </w:r>
          </w:p>
        </w:tc>
      </w:tr>
      <w:tr w:rsidR="00536230" w:rsidTr="00E568CF">
        <w:trPr>
          <w:trHeight w:hRule="exact" w:val="284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地方资金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36230" w:rsidTr="00E568CF">
        <w:trPr>
          <w:trHeight w:hRule="exact" w:val="284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righ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其他资金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30459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2675.1</w:t>
            </w:r>
          </w:p>
        </w:tc>
        <w:tc>
          <w:tcPr>
            <w:tcW w:w="683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8.78%</w:t>
            </w:r>
          </w:p>
        </w:tc>
      </w:tr>
      <w:tr w:rsidR="00536230" w:rsidTr="00E568CF">
        <w:trPr>
          <w:trHeight w:val="274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年初设定目标</w:t>
            </w:r>
          </w:p>
        </w:tc>
        <w:tc>
          <w:tcPr>
            <w:tcW w:w="9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全年实际完成情况</w:t>
            </w:r>
          </w:p>
        </w:tc>
      </w:tr>
      <w:tr w:rsidR="00536230" w:rsidTr="00E568CF">
        <w:trPr>
          <w:trHeight w:val="848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一、四川省应急管理“一张图”建设项目</w:t>
            </w:r>
          </w:p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1.实施金属非金属矿山（含尾矿库）安全生产风险智能监测系统试点工程建设项目，参与试点的尾矿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库数量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不少于8个、露天矿山不少于3个、排土场不少于3个、政府端不少于1个。</w:t>
            </w:r>
          </w:p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2.实施危险化学品企业安全生产风险智能监测系统试点工程建设项目，参与试点化工园区不少于1个。</w:t>
            </w:r>
          </w:p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二、煤矿重大灾害隐患治理项目</w:t>
            </w:r>
          </w:p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1.完成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注氮机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升级改造及火灾在线监控系统1套（井下矿用光谱束管监测系统）。</w:t>
            </w:r>
          </w:p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2.建立防灭火制度、规范，形成防火预警指标体系、灾害治理体系。三、非煤矿山尾矿库“头顶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库”隐患治理项目采取强化保障、实施接替库建设等措施，开展马家田尾矿库“头顶库”治理，完成马家田尾矿库“头顶库”综合治理任务量不低于5591万立方米。</w:t>
            </w:r>
          </w:p>
        </w:tc>
        <w:tc>
          <w:tcPr>
            <w:tcW w:w="9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6230" w:rsidRDefault="00536230" w:rsidP="00E568CF">
            <w:pPr>
              <w:widowControl/>
              <w:spacing w:line="260" w:lineRule="exact"/>
              <w:ind w:firstLineChars="200" w:firstLine="420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一、四川省应急管理“一张图”建设项目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目前项目处于起步阶段。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二、煤矿重大灾害隐患治理项目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1.购置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注氮机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2台及安装完成火灾在线监控系统1套（井下矿用光谱束管监测系统）。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2.形成防灭火制度、规范，形成防火预警指标体系、灾害治理体系。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三、非煤矿山尾矿库“头顶库”隐患治理项目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实施了马家田尾矿库“头顶库”隐患整治；启动了马家田尾矿库接替库建设前期工作</w:t>
            </w:r>
          </w:p>
        </w:tc>
      </w:tr>
      <w:tr w:rsidR="00536230" w:rsidTr="00E568CF">
        <w:trPr>
          <w:trHeight w:val="40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绩效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指标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一级指标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二级指标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三级指标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年度指标值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全年完成值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未完成原因和改进措施</w:t>
            </w:r>
          </w:p>
        </w:tc>
      </w:tr>
      <w:tr w:rsidR="00536230" w:rsidTr="00E568CF">
        <w:trPr>
          <w:trHeight w:val="553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产出指标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数量指标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参与试点的尾矿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库数量</w:t>
            </w:r>
            <w:proofErr w:type="gramEnd"/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不少于8个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项目资金于2019年2月下达至四川省应急管理厅。目前已完成项目实施方案编制工作，并上报应急管理部备案。拟于近期开展公开招标工作。</w:t>
            </w:r>
          </w:p>
        </w:tc>
      </w:tr>
      <w:tr w:rsidR="00536230" w:rsidTr="00E568CF">
        <w:trPr>
          <w:trHeight w:hRule="exact" w:val="62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参与试点的露天矿山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不少于3个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6230" w:rsidTr="00E568CF">
        <w:trPr>
          <w:trHeight w:hRule="exact" w:val="556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参与试点的排土场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不少于3个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6230" w:rsidTr="00E568CF">
        <w:trPr>
          <w:trHeight w:hRule="exact" w:val="3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参与试点的政府端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不少于1个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6230" w:rsidTr="00E568CF">
        <w:trPr>
          <w:trHeight w:hRule="exact" w:val="52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参与试点化工园区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不少于1个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536230" w:rsidTr="00E568CF">
        <w:trPr>
          <w:trHeight w:hRule="exact" w:val="90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煤矿重大灾害隐患治理完成工程个数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2个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6230" w:rsidTr="00E568CF">
        <w:trPr>
          <w:trHeight w:val="783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“头顶库”隐患治理量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5591万立方米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项目资金于2019年2月下达至市财政局。目前项目处于启动阶段。</w:t>
            </w:r>
          </w:p>
        </w:tc>
      </w:tr>
      <w:tr w:rsidR="00536230" w:rsidTr="00E568CF">
        <w:trPr>
          <w:trHeight w:val="141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质量指标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开展“头顶库”隐患整治、尾矿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库闭库及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接替库建设前期工作、尾矿库接替库建设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通过系列工程实施，为马家田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提前闭库创造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条件。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2018年7月，马家田尾矿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库通过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了应急管理部组织的专家组对马家田尾矿库的全方位现场核查。2018年11月马家田尾矿库2018年度“头顶库”治理项目通过原四川省安监局（委托攀枝花市安监局）验收。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项目资金于2019年2月下达至市财政局。目前项目处于启动阶段。</w:t>
            </w:r>
          </w:p>
        </w:tc>
      </w:tr>
      <w:tr w:rsidR="00536230" w:rsidTr="00E568CF">
        <w:trPr>
          <w:trHeight w:val="67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时效指标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项目执行进度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按计划实施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除煤矿重大灾害隐患治理已基本完成待验收外，其他项目均处于启动阶段。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项目资金于2019年2月到位。目前项目处于启动阶段。</w:t>
            </w:r>
          </w:p>
        </w:tc>
      </w:tr>
      <w:tr w:rsidR="00536230" w:rsidTr="00E568CF">
        <w:trPr>
          <w:trHeight w:val="691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效益指标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平台（系统）运维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提高社会资源的利用率，降低信息化平台（系统）运维成本。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项目资金于2019年2月到位。目前项目处于启动阶段。</w:t>
            </w:r>
          </w:p>
        </w:tc>
      </w:tr>
      <w:tr w:rsidR="00536230" w:rsidTr="00E568CF">
        <w:trPr>
          <w:trHeight w:val="99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经济指标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避免自然发火，避免工作面发火封闭，减少煤炭损失，减少生产影响，减少资金损失。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项目实施期间发火率控制为100%，减少工作面发火封闭，减少煤炭损失6万余吨，减少生产影响，减少资金损失300余万元。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6230" w:rsidTr="00E568CF">
        <w:trPr>
          <w:trHeight w:val="834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经济指标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减少工作面发火封闭，减少采煤设备综采支架损失，减少采煤机、刮板运输损伤，减少资金损失。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未发生设备损失。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6230" w:rsidTr="00E568CF">
        <w:trPr>
          <w:trHeight w:val="68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经济指标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不发生安全环保事件、事故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项目资金于2019年2月到位。目前项目处于启动阶段。</w:t>
            </w:r>
          </w:p>
        </w:tc>
      </w:tr>
      <w:tr w:rsidR="00536230" w:rsidTr="00E568CF">
        <w:trPr>
          <w:trHeight w:val="1182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风险防范能力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项目建成后，将提高应急管理部门日常风险监测预警能力，也能提高战时指挥调度能力，更好地保障人民群众的生命财产安全。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项目资金于2019年2月到位。目前项目处于启动阶段。</w:t>
            </w:r>
          </w:p>
        </w:tc>
      </w:tr>
      <w:tr w:rsidR="00536230" w:rsidTr="00E568CF">
        <w:trPr>
          <w:trHeight w:val="919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进一步提升马家田尾矿库安全保障水平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安全保障能力显著提升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项目资金于2019年2月到位。目前项目处于启动阶段。</w:t>
            </w:r>
          </w:p>
        </w:tc>
      </w:tr>
      <w:tr w:rsidR="00536230" w:rsidTr="00E568CF">
        <w:trPr>
          <w:trHeight w:val="5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火灾事故隐患整改率100%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火灾死亡零事故。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6230" w:rsidTr="00E568CF">
        <w:trPr>
          <w:trHeight w:val="540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杜绝火灾死亡事故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隐患整改率100%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536230" w:rsidTr="00E568CF">
        <w:trPr>
          <w:trHeight w:val="885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</w:t>
            </w:r>
          </w:p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服务对象满意度指标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试点企业满意度</w:t>
            </w:r>
          </w:p>
        </w:tc>
        <w:tc>
          <w:tcPr>
            <w:tcW w:w="2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≥90%</w:t>
            </w:r>
          </w:p>
        </w:tc>
        <w:tc>
          <w:tcPr>
            <w:tcW w:w="39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6230" w:rsidRDefault="00536230" w:rsidP="00E568CF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项目资金于2019年2月到位。目前项目处于启动阶段。</w:t>
            </w:r>
          </w:p>
        </w:tc>
      </w:tr>
      <w:tr w:rsidR="00536230" w:rsidTr="00E568CF">
        <w:trPr>
          <w:trHeight w:val="207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230" w:rsidRDefault="00536230" w:rsidP="00E568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说明</w:t>
            </w:r>
          </w:p>
        </w:tc>
        <w:tc>
          <w:tcPr>
            <w:tcW w:w="1406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36230" w:rsidRDefault="00536230" w:rsidP="00E568C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</w:tr>
    </w:tbl>
    <w:p w:rsidR="006F2D51" w:rsidRDefault="00536230"/>
    <w:sectPr w:rsidR="006F2D51" w:rsidSect="005362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230"/>
    <w:rsid w:val="000F6BE6"/>
    <w:rsid w:val="0016079B"/>
    <w:rsid w:val="005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a"/>
    <w:next w:val="a"/>
    <w:rsid w:val="00536230"/>
    <w:pPr>
      <w:spacing w:line="580" w:lineRule="exact"/>
      <w:ind w:firstLineChars="200" w:firstLine="200"/>
      <w:outlineLvl w:val="2"/>
    </w:pPr>
    <w:rPr>
      <w:rFonts w:eastAsia="黑体"/>
      <w:sz w:val="32"/>
    </w:rPr>
  </w:style>
  <w:style w:type="paragraph" w:customStyle="1" w:styleId="a4">
    <w:name w:val="大标题"/>
    <w:basedOn w:val="a"/>
    <w:next w:val="a"/>
    <w:rsid w:val="00536230"/>
    <w:pPr>
      <w:spacing w:line="580" w:lineRule="exact"/>
      <w:jc w:val="center"/>
      <w:outlineLvl w:val="0"/>
    </w:pPr>
    <w:rPr>
      <w:rFonts w:eastAsia="方正小标宋简体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2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a"/>
    <w:next w:val="a"/>
    <w:rsid w:val="00536230"/>
    <w:pPr>
      <w:spacing w:line="580" w:lineRule="exact"/>
      <w:ind w:firstLineChars="200" w:firstLine="200"/>
      <w:outlineLvl w:val="2"/>
    </w:pPr>
    <w:rPr>
      <w:rFonts w:eastAsia="黑体"/>
      <w:sz w:val="32"/>
    </w:rPr>
  </w:style>
  <w:style w:type="paragraph" w:customStyle="1" w:styleId="a4">
    <w:name w:val="大标题"/>
    <w:basedOn w:val="a"/>
    <w:next w:val="a"/>
    <w:rsid w:val="00536230"/>
    <w:pPr>
      <w:spacing w:line="580" w:lineRule="exact"/>
      <w:jc w:val="center"/>
      <w:outlineLvl w:val="0"/>
    </w:pPr>
    <w:rPr>
      <w:rFonts w:eastAsia="方正小标宋简体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302</Words>
  <Characters>1726</Characters>
  <Application>Microsoft Office Word</Application>
  <DocSecurity>0</DocSecurity>
  <Lines>14</Lines>
  <Paragraphs>4</Paragraphs>
  <ScaleCrop>false</ScaleCrop>
  <Company>china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石宇</dc:creator>
  <cp:lastModifiedBy>石宇</cp:lastModifiedBy>
  <cp:revision>1</cp:revision>
  <dcterms:created xsi:type="dcterms:W3CDTF">2019-10-31T03:56:00Z</dcterms:created>
  <dcterms:modified xsi:type="dcterms:W3CDTF">2019-10-31T03:57:00Z</dcterms:modified>
</cp:coreProperties>
</file>